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6C54A" w14:textId="77777777" w:rsidR="00DF5F8D" w:rsidRPr="006914BA" w:rsidRDefault="00DF5F8D" w:rsidP="00DF5F8D">
      <w:pPr>
        <w:rPr>
          <w:color w:val="000000"/>
        </w:rPr>
      </w:pPr>
      <w:r w:rsidRPr="006914BA">
        <w:rPr>
          <w:rFonts w:ascii="Calibri" w:hAnsi="Calibri" w:cs="Calibri"/>
          <w:color w:val="000000"/>
        </w:rPr>
        <w:t>Journal of Herpetological Medicine and Surgery, 33(2): 116-120, 2023</w:t>
      </w:r>
    </w:p>
    <w:p w14:paraId="1DAB77AF" w14:textId="77777777" w:rsidR="00DF5F8D" w:rsidRPr="006914BA" w:rsidRDefault="00DF5F8D" w:rsidP="00DF5F8D">
      <w:pPr>
        <w:rPr>
          <w:color w:val="000000"/>
        </w:rPr>
      </w:pPr>
      <w:r w:rsidRPr="006914BA">
        <w:rPr>
          <w:rFonts w:ascii="Calibri" w:hAnsi="Calibri" w:cs="Calibri"/>
          <w:b/>
          <w:bCs/>
          <w:color w:val="000000"/>
        </w:rPr>
        <w:t>USE OF CAUDOVENTRAL-CRANIODORSAL AND CRANIOVENTRAL-CAUDODORSAL OBLIQUE RADIOGRAPHIC VIEWS MADE AT A 45 DEGREE TO THE FRONTAL PLANE FOR THE EVALUATION OF PELVIC GIRDLES IN PAINTED TURTLES (CHRYSEMYS PICTA)</w:t>
      </w:r>
    </w:p>
    <w:p w14:paraId="561B3935" w14:textId="77777777" w:rsidR="00DF5F8D" w:rsidRDefault="00DF5F8D" w:rsidP="00DF5F8D">
      <w:pPr>
        <w:rPr>
          <w:rFonts w:ascii="Calibri" w:hAnsi="Calibri" w:cs="Calibri"/>
          <w:color w:val="000000"/>
        </w:rPr>
      </w:pPr>
      <w:r w:rsidRPr="006914BA">
        <w:rPr>
          <w:rFonts w:ascii="Calibri" w:hAnsi="Calibri" w:cs="Calibri"/>
          <w:color w:val="000000"/>
        </w:rPr>
        <w:t xml:space="preserve">Miranda </w:t>
      </w:r>
      <w:proofErr w:type="spellStart"/>
      <w:r w:rsidRPr="006914BA">
        <w:rPr>
          <w:rFonts w:ascii="Calibri" w:hAnsi="Calibri" w:cs="Calibri"/>
          <w:color w:val="000000"/>
        </w:rPr>
        <w:t>Torkelson</w:t>
      </w:r>
      <w:proofErr w:type="spellEnd"/>
      <w:r w:rsidRPr="006914BA">
        <w:rPr>
          <w:rFonts w:ascii="Calibri" w:hAnsi="Calibri" w:cs="Calibri"/>
          <w:color w:val="000000"/>
        </w:rPr>
        <w:t xml:space="preserve">, Ashley </w:t>
      </w:r>
      <w:proofErr w:type="spellStart"/>
      <w:r w:rsidRPr="006914BA">
        <w:rPr>
          <w:rFonts w:ascii="Calibri" w:hAnsi="Calibri" w:cs="Calibri"/>
          <w:color w:val="000000"/>
        </w:rPr>
        <w:t>Koetz</w:t>
      </w:r>
      <w:proofErr w:type="spellEnd"/>
      <w:r w:rsidRPr="006914BA">
        <w:rPr>
          <w:rFonts w:ascii="Calibri" w:hAnsi="Calibri" w:cs="Calibri"/>
          <w:color w:val="000000"/>
        </w:rPr>
        <w:t xml:space="preserve"> – Reviewed by LMM</w:t>
      </w:r>
    </w:p>
    <w:p w14:paraId="6D6E8EC7" w14:textId="77777777" w:rsidR="00DF5F8D" w:rsidRPr="006914BA" w:rsidRDefault="00DF5F8D" w:rsidP="00DF5F8D">
      <w:pPr>
        <w:rPr>
          <w:color w:val="000000"/>
        </w:rPr>
      </w:pPr>
    </w:p>
    <w:p w14:paraId="4568510B" w14:textId="77777777" w:rsidR="00DF5F8D" w:rsidRDefault="00DF5F8D" w:rsidP="00DF5F8D">
      <w:pPr>
        <w:rPr>
          <w:rFonts w:ascii="Calibri" w:hAnsi="Calibri" w:cs="Calibri"/>
          <w:color w:val="000000"/>
        </w:rPr>
      </w:pPr>
      <w:r w:rsidRPr="006914BA">
        <w:rPr>
          <w:rFonts w:ascii="Calibri" w:hAnsi="Calibri" w:cs="Calibri"/>
          <w:b/>
          <w:bCs/>
          <w:color w:val="000000"/>
          <w:u w:val="single"/>
        </w:rPr>
        <w:t>Abstract:</w:t>
      </w:r>
      <w:r w:rsidRPr="006914BA">
        <w:rPr>
          <w:rFonts w:ascii="Calibri" w:hAnsi="Calibri" w:cs="Calibri"/>
          <w:color w:val="000000"/>
          <w:sz w:val="16"/>
          <w:szCs w:val="16"/>
        </w:rPr>
        <w:t xml:space="preserve"> </w:t>
      </w:r>
      <w:r w:rsidRPr="006914BA">
        <w:rPr>
          <w:rFonts w:ascii="Calibri" w:hAnsi="Calibri" w:cs="Calibri"/>
          <w:color w:val="000000"/>
        </w:rPr>
        <w:t xml:space="preserve">Turtles often present to wildlife rehabilitation centers for trauma secondary to motor vehicle collisions. Injuries to the pelvic girdles in turtles are challenging to assess on standard radiographic views due to the superimposition of bones. Pelvic trauma may have long-term consequences for ambulation and reproduction. </w:t>
      </w:r>
      <w:r w:rsidRPr="006914BA">
        <w:rPr>
          <w:rFonts w:ascii="Calibri" w:hAnsi="Calibri" w:cs="Calibri"/>
          <w:b/>
          <w:bCs/>
          <w:color w:val="000000"/>
        </w:rPr>
        <w:t>The novel use of caudoventral-craniodorsal and cranioventral-</w:t>
      </w:r>
      <w:proofErr w:type="spellStart"/>
      <w:r w:rsidRPr="006914BA">
        <w:rPr>
          <w:rFonts w:ascii="Calibri" w:hAnsi="Calibri" w:cs="Calibri"/>
          <w:b/>
          <w:bCs/>
          <w:color w:val="000000"/>
        </w:rPr>
        <w:t>caudodorsal</w:t>
      </w:r>
      <w:proofErr w:type="spellEnd"/>
      <w:r w:rsidRPr="006914BA">
        <w:rPr>
          <w:rFonts w:ascii="Calibri" w:hAnsi="Calibri" w:cs="Calibri"/>
          <w:b/>
          <w:bCs/>
          <w:color w:val="000000"/>
        </w:rPr>
        <w:t xml:space="preserve"> 45° oblique radiographic views in western painted turtles (</w:t>
      </w:r>
      <w:proofErr w:type="spellStart"/>
      <w:r w:rsidRPr="006914BA">
        <w:rPr>
          <w:rFonts w:ascii="Calibri" w:hAnsi="Calibri" w:cs="Calibri"/>
          <w:b/>
          <w:bCs/>
          <w:color w:val="000000"/>
        </w:rPr>
        <w:t>Chrysemys</w:t>
      </w:r>
      <w:proofErr w:type="spellEnd"/>
      <w:r w:rsidRPr="006914BA">
        <w:rPr>
          <w:rFonts w:ascii="Calibri" w:hAnsi="Calibri" w:cs="Calibri"/>
          <w:b/>
          <w:bCs/>
          <w:color w:val="000000"/>
        </w:rPr>
        <w:t xml:space="preserve"> </w:t>
      </w:r>
      <w:proofErr w:type="spellStart"/>
      <w:r w:rsidRPr="006914BA">
        <w:rPr>
          <w:rFonts w:ascii="Calibri" w:hAnsi="Calibri" w:cs="Calibri"/>
          <w:b/>
          <w:bCs/>
          <w:color w:val="000000"/>
        </w:rPr>
        <w:t>picta</w:t>
      </w:r>
      <w:proofErr w:type="spellEnd"/>
      <w:r w:rsidRPr="006914BA">
        <w:rPr>
          <w:rFonts w:ascii="Calibri" w:hAnsi="Calibri" w:cs="Calibri"/>
          <w:b/>
          <w:bCs/>
          <w:color w:val="000000"/>
        </w:rPr>
        <w:t xml:space="preserve"> </w:t>
      </w:r>
      <w:proofErr w:type="spellStart"/>
      <w:r w:rsidRPr="006914BA">
        <w:rPr>
          <w:rFonts w:ascii="Calibri" w:hAnsi="Calibri" w:cs="Calibri"/>
          <w:b/>
          <w:bCs/>
          <w:color w:val="000000"/>
        </w:rPr>
        <w:t>bellii</w:t>
      </w:r>
      <w:proofErr w:type="spellEnd"/>
      <w:r w:rsidRPr="006914BA">
        <w:rPr>
          <w:rFonts w:ascii="Calibri" w:hAnsi="Calibri" w:cs="Calibri"/>
          <w:b/>
          <w:bCs/>
          <w:color w:val="000000"/>
        </w:rPr>
        <w:t>) at the Wildlife Rehabilitation Center of Minnesota has improved differentiation of bones in the pelvic girdle.</w:t>
      </w:r>
      <w:r w:rsidRPr="006914BA">
        <w:rPr>
          <w:rFonts w:ascii="Calibri" w:hAnsi="Calibri" w:cs="Calibri"/>
          <w:color w:val="000000"/>
        </w:rPr>
        <w:t xml:space="preserve"> Using dorsoventral radiographs, 45% of western painted turtles with caudal carapace fractures had suspected injuries to the pelvis. </w:t>
      </w:r>
      <w:r w:rsidRPr="006914BA">
        <w:rPr>
          <w:rFonts w:ascii="Calibri" w:hAnsi="Calibri" w:cs="Calibri"/>
          <w:b/>
          <w:bCs/>
          <w:color w:val="000000"/>
        </w:rPr>
        <w:t xml:space="preserve">After using oblique views, 98% of western painted turtles with caudal carapace fractures were found to have pelvic involvement. </w:t>
      </w:r>
      <w:r w:rsidRPr="006914BA">
        <w:rPr>
          <w:rFonts w:ascii="Calibri" w:hAnsi="Calibri" w:cs="Calibri"/>
          <w:color w:val="000000"/>
        </w:rPr>
        <w:t>These radiographic views improve diagnostic ability, facilitate medical and surgical interventions, and aid in monitoring the healing process.</w:t>
      </w:r>
    </w:p>
    <w:p w14:paraId="4DF9EA70" w14:textId="77777777" w:rsidR="00DF5F8D" w:rsidRPr="006914BA" w:rsidRDefault="00DF5F8D" w:rsidP="00DF5F8D">
      <w:pPr>
        <w:rPr>
          <w:color w:val="000000"/>
        </w:rPr>
      </w:pPr>
    </w:p>
    <w:p w14:paraId="07A3A38E" w14:textId="77777777" w:rsidR="00DF5F8D" w:rsidRPr="006914BA" w:rsidRDefault="00DF5F8D" w:rsidP="00DF5F8D">
      <w:pPr>
        <w:rPr>
          <w:color w:val="000000"/>
        </w:rPr>
      </w:pPr>
      <w:r w:rsidRPr="006914BA">
        <w:rPr>
          <w:rFonts w:ascii="Calibri" w:hAnsi="Calibri" w:cs="Calibri"/>
          <w:b/>
          <w:bCs/>
          <w:color w:val="000000"/>
        </w:rPr>
        <w:t>Key Points:</w:t>
      </w:r>
      <w:r w:rsidRPr="006914BA">
        <w:rPr>
          <w:rFonts w:ascii="Calibri" w:hAnsi="Calibri" w:cs="Calibri"/>
          <w:color w:val="000000"/>
        </w:rPr>
        <w:t> </w:t>
      </w:r>
    </w:p>
    <w:p w14:paraId="2BC64266" w14:textId="77777777" w:rsidR="00DF5F8D" w:rsidRPr="006914BA" w:rsidRDefault="00DF5F8D" w:rsidP="00DF5F8D">
      <w:pPr>
        <w:numPr>
          <w:ilvl w:val="0"/>
          <w:numId w:val="7"/>
        </w:numPr>
        <w:spacing w:line="240" w:lineRule="auto"/>
        <w:textAlignment w:val="baseline"/>
        <w:rPr>
          <w:rFonts w:ascii="Calibri" w:hAnsi="Calibri" w:cs="Calibri"/>
          <w:color w:val="000000"/>
        </w:rPr>
      </w:pPr>
      <w:r w:rsidRPr="006914BA">
        <w:rPr>
          <w:rFonts w:ascii="Calibri" w:hAnsi="Calibri" w:cs="Calibri"/>
          <w:color w:val="000000"/>
        </w:rPr>
        <w:t>Due to fusion of spine and shell, all motion both walking and swimming occurs via movements of limbs and mobility within the pelvis, mating occurs in water and females dig nests completely with hindlimbs</w:t>
      </w:r>
    </w:p>
    <w:p w14:paraId="6FEE054A" w14:textId="77777777" w:rsidR="00DF5F8D" w:rsidRPr="006914BA" w:rsidRDefault="00DF5F8D" w:rsidP="00DF5F8D">
      <w:pPr>
        <w:numPr>
          <w:ilvl w:val="0"/>
          <w:numId w:val="7"/>
        </w:numPr>
        <w:spacing w:line="240" w:lineRule="auto"/>
        <w:textAlignment w:val="baseline"/>
        <w:rPr>
          <w:rFonts w:ascii="Calibri" w:hAnsi="Calibri" w:cs="Calibri"/>
          <w:color w:val="000000"/>
        </w:rPr>
      </w:pPr>
      <w:r w:rsidRPr="006914BA">
        <w:rPr>
          <w:rFonts w:ascii="Calibri" w:hAnsi="Calibri" w:cs="Calibri"/>
          <w:color w:val="000000"/>
        </w:rPr>
        <w:t>Displaced pelvic fracture may also reduce pelvic inlet size, potentially leading to dystocia</w:t>
      </w:r>
    </w:p>
    <w:p w14:paraId="194DD79B" w14:textId="77777777" w:rsidR="00DF5F8D" w:rsidRPr="006914BA" w:rsidRDefault="00DF5F8D" w:rsidP="00DF5F8D">
      <w:pPr>
        <w:numPr>
          <w:ilvl w:val="0"/>
          <w:numId w:val="7"/>
        </w:numPr>
        <w:spacing w:line="240" w:lineRule="auto"/>
        <w:textAlignment w:val="baseline"/>
        <w:rPr>
          <w:rFonts w:ascii="Calibri" w:hAnsi="Calibri" w:cs="Calibri"/>
          <w:color w:val="000000"/>
        </w:rPr>
      </w:pPr>
      <w:r w:rsidRPr="006914BA">
        <w:rPr>
          <w:rFonts w:ascii="Calibri" w:hAnsi="Calibri" w:cs="Calibri"/>
          <w:color w:val="000000"/>
        </w:rPr>
        <w:t xml:space="preserve">This paper investigated an adaptation of the “H-view” (caudoventral-craniodorsal </w:t>
      </w:r>
      <w:proofErr w:type="gramStart"/>
      <w:r w:rsidRPr="006914BA">
        <w:rPr>
          <w:rFonts w:ascii="Calibri" w:hAnsi="Calibri" w:cs="Calibri"/>
          <w:color w:val="000000"/>
        </w:rPr>
        <w:t>45 degree</w:t>
      </w:r>
      <w:proofErr w:type="gramEnd"/>
      <w:r w:rsidRPr="006914BA">
        <w:rPr>
          <w:rFonts w:ascii="Calibri" w:hAnsi="Calibri" w:cs="Calibri"/>
          <w:color w:val="000000"/>
        </w:rPr>
        <w:t xml:space="preserve"> oblique view) used in birds to assess the coracoid/clavicle for assessment of the pelvic bones in sliders and another oblique view termed the “A-view” (cranioventral-</w:t>
      </w:r>
      <w:proofErr w:type="spellStart"/>
      <w:r w:rsidRPr="006914BA">
        <w:rPr>
          <w:rFonts w:ascii="Calibri" w:hAnsi="Calibri" w:cs="Calibri"/>
          <w:color w:val="000000"/>
        </w:rPr>
        <w:t>caudodorsal</w:t>
      </w:r>
      <w:proofErr w:type="spellEnd"/>
      <w:r w:rsidRPr="006914BA">
        <w:rPr>
          <w:rFonts w:ascii="Calibri" w:hAnsi="Calibri" w:cs="Calibri"/>
          <w:color w:val="000000"/>
        </w:rPr>
        <w:t xml:space="preserve"> 45 degree oblique view) </w:t>
      </w:r>
    </w:p>
    <w:p w14:paraId="5A550230" w14:textId="77777777" w:rsidR="00DF5F8D" w:rsidRPr="006914BA" w:rsidRDefault="00DF5F8D" w:rsidP="00DF5F8D">
      <w:pPr>
        <w:numPr>
          <w:ilvl w:val="0"/>
          <w:numId w:val="7"/>
        </w:numPr>
        <w:spacing w:line="240" w:lineRule="auto"/>
        <w:textAlignment w:val="baseline"/>
        <w:rPr>
          <w:rFonts w:ascii="Calibri" w:hAnsi="Calibri" w:cs="Calibri"/>
          <w:color w:val="000000"/>
        </w:rPr>
      </w:pPr>
      <w:r w:rsidRPr="006914BA">
        <w:rPr>
          <w:rFonts w:ascii="Calibri" w:hAnsi="Calibri" w:cs="Calibri"/>
          <w:color w:val="000000"/>
        </w:rPr>
        <w:t>These views clearly separated out the ilium, ischium, and pubis and allowed for increased detection of injuries, advancing medical care and prognostication</w:t>
      </w:r>
    </w:p>
    <w:p w14:paraId="0A41E413" w14:textId="77777777" w:rsidR="00DF5F8D" w:rsidRDefault="00DF5F8D" w:rsidP="00DF5F8D">
      <w:pPr>
        <w:numPr>
          <w:ilvl w:val="0"/>
          <w:numId w:val="7"/>
        </w:numPr>
        <w:spacing w:line="240" w:lineRule="auto"/>
        <w:textAlignment w:val="baseline"/>
        <w:rPr>
          <w:rFonts w:ascii="Calibri" w:hAnsi="Calibri" w:cs="Calibri"/>
          <w:color w:val="000000"/>
        </w:rPr>
      </w:pPr>
      <w:proofErr w:type="gramStart"/>
      <w:r w:rsidRPr="006914BA">
        <w:rPr>
          <w:rFonts w:ascii="Calibri" w:hAnsi="Calibri" w:cs="Calibri"/>
          <w:b/>
          <w:bCs/>
          <w:color w:val="000000"/>
        </w:rPr>
        <w:t>The vast majority of</w:t>
      </w:r>
      <w:proofErr w:type="gramEnd"/>
      <w:r w:rsidRPr="006914BA">
        <w:rPr>
          <w:rFonts w:ascii="Calibri" w:hAnsi="Calibri" w:cs="Calibri"/>
          <w:b/>
          <w:bCs/>
          <w:color w:val="000000"/>
        </w:rPr>
        <w:t xml:space="preserve"> turtles with pelvic injuries had ilium involvement</w:t>
      </w:r>
      <w:r w:rsidRPr="006914BA">
        <w:rPr>
          <w:rFonts w:ascii="Calibri" w:hAnsi="Calibri" w:cs="Calibri"/>
          <w:color w:val="000000"/>
        </w:rPr>
        <w:t xml:space="preserve"> – likely because this bone is vertically oriented and suspends the pelvic girdle from the carapace at the sacroiliac joint and when crushing force occurs on the caudal shell, the next structure absorbing force aside from the shell is the ilium…soft tissue then provides the last remaining support to the pelvic girdle</w:t>
      </w:r>
    </w:p>
    <w:p w14:paraId="1CD77150" w14:textId="77777777" w:rsidR="00DF5F8D" w:rsidRPr="006914BA" w:rsidRDefault="00DF5F8D" w:rsidP="00DF5F8D">
      <w:pPr>
        <w:textAlignment w:val="baseline"/>
        <w:rPr>
          <w:rFonts w:ascii="Calibri" w:hAnsi="Calibri" w:cs="Calibri"/>
          <w:color w:val="000000"/>
        </w:rPr>
      </w:pPr>
    </w:p>
    <w:p w14:paraId="1022DDB0" w14:textId="77777777" w:rsidR="00DF5F8D" w:rsidRDefault="00DF5F8D" w:rsidP="00DF5F8D">
      <w:pPr>
        <w:rPr>
          <w:rFonts w:ascii="Calibri" w:hAnsi="Calibri" w:cs="Calibri"/>
          <w:color w:val="000000"/>
        </w:rPr>
      </w:pPr>
      <w:r w:rsidRPr="006914BA">
        <w:rPr>
          <w:rFonts w:ascii="Calibri" w:hAnsi="Calibri" w:cs="Calibri"/>
          <w:b/>
          <w:bCs/>
          <w:color w:val="000000"/>
        </w:rPr>
        <w:t xml:space="preserve">Take Home Point: </w:t>
      </w:r>
      <w:r w:rsidRPr="006914BA">
        <w:rPr>
          <w:rFonts w:ascii="Calibri" w:hAnsi="Calibri" w:cs="Calibri"/>
          <w:color w:val="000000"/>
        </w:rPr>
        <w:t>The “H-view” and the “A-view” in sliders separated out the ilium, ischium, and pubis and allows for increased detection of injuries to that region in these animals.</w:t>
      </w:r>
    </w:p>
    <w:p w14:paraId="249F5153" w14:textId="77777777" w:rsidR="00DF5F8D" w:rsidRDefault="00DF5F8D" w:rsidP="00DF5F8D">
      <w:pPr>
        <w:rPr>
          <w:rFonts w:ascii="Calibri" w:hAnsi="Calibri" w:cs="Calibri"/>
          <w:color w:val="000000"/>
        </w:rPr>
      </w:pPr>
    </w:p>
    <w:p w14:paraId="0EFFB353" w14:textId="77777777" w:rsidR="00DF5F8D" w:rsidRDefault="00DF5F8D" w:rsidP="00DF5F8D">
      <w:pPr>
        <w:rPr>
          <w:color w:val="000000"/>
        </w:rPr>
      </w:pPr>
      <w:r>
        <w:rPr>
          <w:rFonts w:ascii="Calibri" w:hAnsi="Calibri" w:cs="Calibri"/>
          <w:noProof/>
          <w:color w:val="000000"/>
          <w:bdr w:val="none" w:sz="0" w:space="0" w:color="auto" w:frame="1"/>
          <w:vertAlign w:val="superscript"/>
        </w:rPr>
        <w:lastRenderedPageBreak/>
        <w:drawing>
          <wp:inline distT="0" distB="0" distL="0" distR="0" wp14:anchorId="388194DE" wp14:editId="5E38D958">
            <wp:extent cx="5905803" cy="3044651"/>
            <wp:effectExtent l="0" t="0" r="0" b="3810"/>
            <wp:docPr id="321139514" name="Picture 1" descr="A close-up of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drawing&#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26464" cy="3055303"/>
                    </a:xfrm>
                    <a:prstGeom prst="rect">
                      <a:avLst/>
                    </a:prstGeom>
                    <a:noFill/>
                    <a:ln>
                      <a:noFill/>
                    </a:ln>
                  </pic:spPr>
                </pic:pic>
              </a:graphicData>
            </a:graphic>
          </wp:inline>
        </w:drawing>
      </w:r>
    </w:p>
    <w:p w14:paraId="028F2649" w14:textId="77777777" w:rsidR="00DF5F8D" w:rsidRDefault="00DF5F8D" w:rsidP="00DF5F8D">
      <w:pPr>
        <w:rPr>
          <w:color w:val="000000"/>
        </w:rPr>
      </w:pPr>
      <w:r>
        <w:rPr>
          <w:rFonts w:ascii="Calibri" w:hAnsi="Calibri" w:cs="Calibri"/>
          <w:noProof/>
          <w:color w:val="000000"/>
          <w:bdr w:val="none" w:sz="0" w:space="0" w:color="auto" w:frame="1"/>
          <w:vertAlign w:val="superscript"/>
        </w:rPr>
        <w:drawing>
          <wp:inline distT="0" distB="0" distL="0" distR="0" wp14:anchorId="45F6F6DC" wp14:editId="2E69335C">
            <wp:extent cx="6018963" cy="3099959"/>
            <wp:effectExtent l="0" t="0" r="1270" b="0"/>
            <wp:docPr id="828551337" name="Picture 2" descr="A drawing of a turtle and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rawing of a turtle and a microscop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89497" cy="3136286"/>
                    </a:xfrm>
                    <a:prstGeom prst="rect">
                      <a:avLst/>
                    </a:prstGeom>
                    <a:noFill/>
                    <a:ln>
                      <a:noFill/>
                    </a:ln>
                  </pic:spPr>
                </pic:pic>
              </a:graphicData>
            </a:graphic>
          </wp:inline>
        </w:drawing>
      </w:r>
    </w:p>
    <w:p w14:paraId="48BC7BA9" w14:textId="77777777" w:rsidR="00DF5F8D" w:rsidRDefault="00DF5F8D" w:rsidP="00DF5F8D">
      <w:pPr>
        <w:rPr>
          <w:color w:val="000000"/>
        </w:rPr>
      </w:pPr>
      <w:r>
        <w:rPr>
          <w:rFonts w:ascii="Calibri" w:hAnsi="Calibri" w:cs="Calibri"/>
          <w:noProof/>
          <w:color w:val="000000"/>
          <w:bdr w:val="none" w:sz="0" w:space="0" w:color="auto" w:frame="1"/>
          <w:vertAlign w:val="superscript"/>
        </w:rPr>
        <w:lastRenderedPageBreak/>
        <w:drawing>
          <wp:inline distT="0" distB="0" distL="0" distR="0" wp14:anchorId="14E4174F" wp14:editId="0D5EDEBC">
            <wp:extent cx="5806738" cy="2361363"/>
            <wp:effectExtent l="0" t="0" r="0" b="1270"/>
            <wp:docPr id="1998833085" name="Picture 3" descr="A close-up of a skele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close-up of a skeleton&#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3493" cy="2380376"/>
                    </a:xfrm>
                    <a:prstGeom prst="rect">
                      <a:avLst/>
                    </a:prstGeom>
                    <a:noFill/>
                    <a:ln>
                      <a:noFill/>
                    </a:ln>
                  </pic:spPr>
                </pic:pic>
              </a:graphicData>
            </a:graphic>
          </wp:inline>
        </w:drawing>
      </w:r>
    </w:p>
    <w:p w14:paraId="01E0E4A2" w14:textId="77777777" w:rsidR="00DF5F8D" w:rsidRDefault="00DF5F8D" w:rsidP="00DF5F8D">
      <w:pPr>
        <w:rPr>
          <w:color w:val="000000"/>
        </w:rPr>
      </w:pPr>
      <w:r>
        <w:rPr>
          <w:rFonts w:ascii="Calibri" w:hAnsi="Calibri" w:cs="Calibri"/>
          <w:noProof/>
          <w:color w:val="000000"/>
          <w:bdr w:val="none" w:sz="0" w:space="0" w:color="auto" w:frame="1"/>
          <w:vertAlign w:val="superscript"/>
        </w:rPr>
        <w:drawing>
          <wp:inline distT="0" distB="0" distL="0" distR="0" wp14:anchorId="0B938C25" wp14:editId="3674239C">
            <wp:extent cx="5958673" cy="2911991"/>
            <wp:effectExtent l="0" t="0" r="0" b="0"/>
            <wp:docPr id="1613022632" name="Picture 4" descr="A close-up of a x-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close-up of a x-ray&#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8709" cy="2931556"/>
                    </a:xfrm>
                    <a:prstGeom prst="rect">
                      <a:avLst/>
                    </a:prstGeom>
                    <a:noFill/>
                    <a:ln>
                      <a:noFill/>
                    </a:ln>
                  </pic:spPr>
                </pic:pic>
              </a:graphicData>
            </a:graphic>
          </wp:inline>
        </w:drawing>
      </w:r>
    </w:p>
    <w:p w14:paraId="2BAFC3FD" w14:textId="77777777" w:rsidR="00DF5F8D" w:rsidRDefault="00DF5F8D" w:rsidP="00DF5F8D">
      <w:pPr>
        <w:rPr>
          <w:color w:val="000000"/>
        </w:rPr>
      </w:pPr>
      <w:r>
        <w:rPr>
          <w:rFonts w:ascii="Calibri" w:hAnsi="Calibri" w:cs="Calibri"/>
          <w:noProof/>
          <w:color w:val="000000"/>
          <w:bdr w:val="none" w:sz="0" w:space="0" w:color="auto" w:frame="1"/>
          <w:vertAlign w:val="superscript"/>
        </w:rPr>
        <w:drawing>
          <wp:inline distT="0" distB="0" distL="0" distR="0" wp14:anchorId="2086EC0B" wp14:editId="731A29B3">
            <wp:extent cx="6108749" cy="2200589"/>
            <wp:effectExtent l="0" t="0" r="0" b="0"/>
            <wp:docPr id="1364185968" name="Picture 5" descr="A close-up of x-ray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se-up of x-ray image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7414" cy="2225325"/>
                    </a:xfrm>
                    <a:prstGeom prst="rect">
                      <a:avLst/>
                    </a:prstGeom>
                    <a:noFill/>
                    <a:ln>
                      <a:noFill/>
                    </a:ln>
                  </pic:spPr>
                </pic:pic>
              </a:graphicData>
            </a:graphic>
          </wp:inline>
        </w:drawing>
      </w:r>
    </w:p>
    <w:p w14:paraId="10FE900A" w14:textId="77777777" w:rsidR="00DF5F8D" w:rsidRDefault="00DF5F8D" w:rsidP="00DF5F8D">
      <w:pPr>
        <w:rPr>
          <w:color w:val="000000"/>
        </w:rPr>
      </w:pPr>
      <w:r>
        <w:rPr>
          <w:rFonts w:ascii="Calibri" w:hAnsi="Calibri" w:cs="Calibri"/>
          <w:noProof/>
          <w:color w:val="000000"/>
          <w:bdr w:val="none" w:sz="0" w:space="0" w:color="auto" w:frame="1"/>
          <w:vertAlign w:val="superscript"/>
        </w:rPr>
        <w:lastRenderedPageBreak/>
        <w:drawing>
          <wp:inline distT="0" distB="0" distL="0" distR="0" wp14:anchorId="4DBEB1B6" wp14:editId="27B46C5C">
            <wp:extent cx="6051343" cy="2180492"/>
            <wp:effectExtent l="0" t="0" r="0" b="4445"/>
            <wp:docPr id="334520143" name="Picture 6" descr="A close-up of an x-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close-up of an x-ray&#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155" cy="2203486"/>
                    </a:xfrm>
                    <a:prstGeom prst="rect">
                      <a:avLst/>
                    </a:prstGeom>
                    <a:noFill/>
                    <a:ln>
                      <a:noFill/>
                    </a:ln>
                  </pic:spPr>
                </pic:pic>
              </a:graphicData>
            </a:graphic>
          </wp:inline>
        </w:drawing>
      </w:r>
    </w:p>
    <w:p w14:paraId="10E892EC" w14:textId="77777777" w:rsidR="00DF5F8D" w:rsidRDefault="00DF5F8D" w:rsidP="00DF5F8D">
      <w:pPr>
        <w:rPr>
          <w:color w:val="000000"/>
        </w:rPr>
      </w:pPr>
      <w:r>
        <w:rPr>
          <w:rFonts w:ascii="Calibri" w:hAnsi="Calibri" w:cs="Calibri"/>
          <w:noProof/>
          <w:color w:val="000000"/>
          <w:bdr w:val="none" w:sz="0" w:space="0" w:color="auto" w:frame="1"/>
          <w:vertAlign w:val="superscript"/>
        </w:rPr>
        <w:drawing>
          <wp:inline distT="0" distB="0" distL="0" distR="0" wp14:anchorId="4FADC5B6" wp14:editId="5886AB1C">
            <wp:extent cx="6031230" cy="2360160"/>
            <wp:effectExtent l="0" t="0" r="1270" b="2540"/>
            <wp:docPr id="880959392" name="Picture 7" descr="A close-up of x-ray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lose-up of x-ray imag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9648" cy="2379107"/>
                    </a:xfrm>
                    <a:prstGeom prst="rect">
                      <a:avLst/>
                    </a:prstGeom>
                    <a:noFill/>
                    <a:ln>
                      <a:noFill/>
                    </a:ln>
                  </pic:spPr>
                </pic:pic>
              </a:graphicData>
            </a:graphic>
          </wp:inline>
        </w:drawing>
      </w:r>
    </w:p>
    <w:p w14:paraId="45591F8E" w14:textId="77777777" w:rsidR="00DF5F8D" w:rsidRDefault="00DF5F8D" w:rsidP="00DF5F8D">
      <w:pPr>
        <w:rPr>
          <w:color w:val="000000"/>
        </w:rPr>
      </w:pPr>
      <w:r>
        <w:rPr>
          <w:rFonts w:ascii="Calibri" w:hAnsi="Calibri" w:cs="Calibri"/>
          <w:noProof/>
          <w:color w:val="000000"/>
          <w:bdr w:val="none" w:sz="0" w:space="0" w:color="auto" w:frame="1"/>
          <w:vertAlign w:val="superscript"/>
        </w:rPr>
        <w:drawing>
          <wp:inline distT="0" distB="0" distL="0" distR="0" wp14:anchorId="415F42C3" wp14:editId="7E911AC3">
            <wp:extent cx="6031241" cy="2180492"/>
            <wp:effectExtent l="0" t="0" r="1270" b="4445"/>
            <wp:docPr id="714156731" name="Picture 8" descr="A close-up of x-ray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lose-up of x-ray image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1836" cy="2206014"/>
                    </a:xfrm>
                    <a:prstGeom prst="rect">
                      <a:avLst/>
                    </a:prstGeom>
                    <a:noFill/>
                    <a:ln>
                      <a:noFill/>
                    </a:ln>
                  </pic:spPr>
                </pic:pic>
              </a:graphicData>
            </a:graphic>
          </wp:inline>
        </w:drawing>
      </w:r>
    </w:p>
    <w:p w14:paraId="071C70CB" w14:textId="77777777" w:rsidR="00DF5F8D" w:rsidRPr="006914BA" w:rsidRDefault="00DF5F8D" w:rsidP="00DF5F8D">
      <w:pPr>
        <w:rPr>
          <w:color w:val="000000"/>
        </w:rPr>
      </w:pPr>
    </w:p>
    <w:p w14:paraId="691FC5EE" w14:textId="77777777" w:rsidR="00DF5F8D" w:rsidRPr="006914BA" w:rsidRDefault="00DF5F8D" w:rsidP="00DF5F8D">
      <w:r>
        <w:t>______________________________________________________________________________</w:t>
      </w:r>
    </w:p>
    <w:p w14:paraId="02F91F6B" w14:textId="77777777" w:rsidR="00DF5F8D" w:rsidRDefault="00DF5F8D" w:rsidP="00DF5F8D"/>
    <w:p w14:paraId="2A370B30" w14:textId="77777777" w:rsidR="00DF5F8D" w:rsidRPr="006914BA" w:rsidRDefault="00DF5F8D" w:rsidP="00DF5F8D">
      <w:pPr>
        <w:rPr>
          <w:color w:val="000000"/>
        </w:rPr>
      </w:pPr>
      <w:r w:rsidRPr="006914BA">
        <w:rPr>
          <w:rFonts w:ascii="Calibri" w:hAnsi="Calibri" w:cs="Calibri"/>
          <w:color w:val="000000"/>
        </w:rPr>
        <w:t>Journal of Herpetological Medicine and Surgery, 3</w:t>
      </w:r>
      <w:r>
        <w:rPr>
          <w:rFonts w:ascii="Calibri" w:hAnsi="Calibri" w:cs="Calibri"/>
          <w:color w:val="000000"/>
        </w:rPr>
        <w:t>4</w:t>
      </w:r>
      <w:r w:rsidRPr="006914BA">
        <w:rPr>
          <w:rFonts w:ascii="Calibri" w:hAnsi="Calibri" w:cs="Calibri"/>
          <w:color w:val="000000"/>
        </w:rPr>
        <w:t>(</w:t>
      </w:r>
      <w:r>
        <w:rPr>
          <w:rFonts w:ascii="Calibri" w:hAnsi="Calibri" w:cs="Calibri"/>
          <w:color w:val="000000"/>
        </w:rPr>
        <w:t>3</w:t>
      </w:r>
      <w:r w:rsidRPr="006914BA">
        <w:rPr>
          <w:rFonts w:ascii="Calibri" w:hAnsi="Calibri" w:cs="Calibri"/>
          <w:color w:val="000000"/>
        </w:rPr>
        <w:t xml:space="preserve">): </w:t>
      </w:r>
      <w:r>
        <w:rPr>
          <w:rFonts w:ascii="Calibri" w:hAnsi="Calibri" w:cs="Calibri"/>
          <w:color w:val="000000"/>
        </w:rPr>
        <w:t>175-183</w:t>
      </w:r>
      <w:r w:rsidRPr="006914BA">
        <w:rPr>
          <w:rFonts w:ascii="Calibri" w:hAnsi="Calibri" w:cs="Calibri"/>
          <w:color w:val="000000"/>
        </w:rPr>
        <w:t>, 202</w:t>
      </w:r>
      <w:r>
        <w:rPr>
          <w:rFonts w:ascii="Calibri" w:hAnsi="Calibri" w:cs="Calibri"/>
          <w:color w:val="000000"/>
        </w:rPr>
        <w:t>4</w:t>
      </w:r>
    </w:p>
    <w:p w14:paraId="1CB4F693" w14:textId="77777777" w:rsidR="00DF5F8D" w:rsidRPr="00392707" w:rsidRDefault="00DF5F8D" w:rsidP="00DF5F8D">
      <w:pPr>
        <w:rPr>
          <w:rFonts w:ascii="Calibri" w:hAnsi="Calibri" w:cs="Calibri"/>
          <w:b/>
          <w:bCs/>
          <w:color w:val="000000"/>
        </w:rPr>
      </w:pPr>
      <w:r w:rsidRPr="00392707">
        <w:rPr>
          <w:rFonts w:ascii="Calibri" w:hAnsi="Calibri" w:cs="Calibri"/>
          <w:b/>
          <w:bCs/>
        </w:rPr>
        <w:lastRenderedPageBreak/>
        <w:t>DIAGNOSIS OF ORTHOPEDIC FRACTURES USING CRANIDORSAL</w:t>
      </w:r>
      <w:r>
        <w:rPr>
          <w:rFonts w:ascii="Calibri" w:hAnsi="Calibri" w:cs="Calibri"/>
          <w:b/>
          <w:bCs/>
        </w:rPr>
        <w:t>-</w:t>
      </w:r>
      <w:r w:rsidRPr="00392707">
        <w:rPr>
          <w:rFonts w:ascii="Calibri" w:hAnsi="Calibri" w:cs="Calibri"/>
          <w:b/>
          <w:bCs/>
        </w:rPr>
        <w:t>CAUDOVENTRAL OBLIQUE AND CAUDODORSAL-CRANIOVENTRAL OBLIQUE RADIOGRAPHIC VIEWS MADE AT 45</w:t>
      </w:r>
      <w:r w:rsidRPr="00392707">
        <w:rPr>
          <w:rFonts w:ascii="Calibri" w:hAnsi="Calibri" w:cs="Calibri"/>
          <w:b/>
          <w:bCs/>
          <w:color w:val="000000"/>
        </w:rPr>
        <w:t>° TO THE FRONTAL PLANE IN FOUR WILD TURTLES</w:t>
      </w:r>
    </w:p>
    <w:p w14:paraId="6564307B" w14:textId="77777777" w:rsidR="00DF5F8D" w:rsidRDefault="00DF5F8D" w:rsidP="00DF5F8D">
      <w:pPr>
        <w:rPr>
          <w:rFonts w:ascii="Calibri" w:hAnsi="Calibri" w:cs="Calibri"/>
          <w:color w:val="000000"/>
        </w:rPr>
      </w:pPr>
      <w:r w:rsidRPr="00392707">
        <w:rPr>
          <w:rFonts w:ascii="Calibri" w:hAnsi="Calibri" w:cs="Calibri"/>
          <w:color w:val="000000"/>
        </w:rPr>
        <w:t>Chung et al – Reviewed by LMM</w:t>
      </w:r>
    </w:p>
    <w:p w14:paraId="4FA4B8AC" w14:textId="77777777" w:rsidR="00DF5F8D" w:rsidRDefault="00DF5F8D" w:rsidP="00DF5F8D">
      <w:pPr>
        <w:pStyle w:val="NormalWeb"/>
        <w:spacing w:before="0" w:beforeAutospacing="0" w:after="0" w:afterAutospacing="0"/>
        <w:rPr>
          <w:rFonts w:ascii="Calibri" w:hAnsi="Calibri" w:cs="Calibri"/>
          <w:color w:val="000000"/>
          <w:sz w:val="22"/>
          <w:szCs w:val="22"/>
        </w:rPr>
      </w:pPr>
      <w:r w:rsidRPr="00392707">
        <w:rPr>
          <w:rFonts w:ascii="Calibri" w:hAnsi="Calibri" w:cs="Calibri"/>
          <w:b/>
          <w:bCs/>
          <w:color w:val="000000"/>
          <w:sz w:val="22"/>
          <w:szCs w:val="22"/>
        </w:rPr>
        <w:t>Abstract:</w:t>
      </w:r>
      <w:r>
        <w:rPr>
          <w:rFonts w:ascii="Calibri" w:hAnsi="Calibri" w:cs="Calibri"/>
          <w:color w:val="000000"/>
          <w:sz w:val="22"/>
          <w:szCs w:val="22"/>
        </w:rPr>
        <w:t xml:space="preserve"> Four wild chelonians (two three-toed box turtles [</w:t>
      </w:r>
      <w:r w:rsidRPr="00392707">
        <w:rPr>
          <w:rFonts w:ascii="Calibri" w:hAnsi="Calibri" w:cs="Calibri"/>
          <w:i/>
          <w:iCs/>
          <w:color w:val="000000"/>
          <w:sz w:val="22"/>
          <w:szCs w:val="22"/>
        </w:rPr>
        <w:t xml:space="preserve">Terrapene </w:t>
      </w:r>
      <w:proofErr w:type="spellStart"/>
      <w:r w:rsidRPr="00392707">
        <w:rPr>
          <w:rFonts w:ascii="Calibri" w:hAnsi="Calibri" w:cs="Calibri"/>
          <w:i/>
          <w:iCs/>
          <w:color w:val="000000"/>
          <w:sz w:val="22"/>
          <w:szCs w:val="22"/>
        </w:rPr>
        <w:t>triunguis</w:t>
      </w:r>
      <w:proofErr w:type="spellEnd"/>
      <w:r>
        <w:rPr>
          <w:rFonts w:ascii="Calibri" w:hAnsi="Calibri" w:cs="Calibri"/>
          <w:color w:val="000000"/>
          <w:sz w:val="22"/>
          <w:szCs w:val="22"/>
        </w:rPr>
        <w:t>] and two red-eared sliders [</w:t>
      </w:r>
      <w:r w:rsidRPr="00392707">
        <w:rPr>
          <w:rFonts w:ascii="Calibri" w:hAnsi="Calibri" w:cs="Calibri"/>
          <w:i/>
          <w:iCs/>
          <w:color w:val="000000"/>
          <w:sz w:val="22"/>
          <w:szCs w:val="22"/>
        </w:rPr>
        <w:t>Trachemys scripta elegans</w:t>
      </w:r>
      <w:r>
        <w:rPr>
          <w:rFonts w:ascii="Calibri" w:hAnsi="Calibri" w:cs="Calibri"/>
          <w:color w:val="000000"/>
          <w:sz w:val="22"/>
          <w:szCs w:val="22"/>
        </w:rPr>
        <w:t xml:space="preserve">]) were presented to an academic wildlife rehabilitation center after presumably being hit by a car. Physical examinations revealed various carapace, bridge, and plastron fractures, as well as a lack of motor function of different limbs. A craniodorsal-caudoventral oblique view or </w:t>
      </w:r>
      <w:proofErr w:type="spellStart"/>
      <w:r>
        <w:rPr>
          <w:rFonts w:ascii="Calibri" w:hAnsi="Calibri" w:cs="Calibri"/>
          <w:color w:val="000000"/>
          <w:sz w:val="22"/>
          <w:szCs w:val="22"/>
        </w:rPr>
        <w:t>caudodorsal</w:t>
      </w:r>
      <w:proofErr w:type="spellEnd"/>
      <w:r>
        <w:rPr>
          <w:rFonts w:ascii="Calibri" w:hAnsi="Calibri" w:cs="Calibri"/>
          <w:color w:val="000000"/>
          <w:sz w:val="22"/>
          <w:szCs w:val="22"/>
        </w:rPr>
        <w:t xml:space="preserve">-cranioventral oblique radiographic view made at 45 to the frontal plane (Cr45D-CdV and Cd45DCrV oblique views, respectively), along with standard views (i.e., dorsoventral, right lateral, craniocaudal views), were performed. </w:t>
      </w:r>
      <w:r>
        <w:rPr>
          <w:rFonts w:ascii="Calibri" w:hAnsi="Calibri" w:cs="Calibri"/>
          <w:b/>
          <w:bCs/>
          <w:color w:val="000000"/>
          <w:sz w:val="22"/>
          <w:szCs w:val="22"/>
        </w:rPr>
        <w:t>The oblique views allowed for visualization of different pectoral girdle or pelvic girdle fractures that were not visualized or clearly identified on the standard views</w:t>
      </w:r>
      <w:r>
        <w:rPr>
          <w:rFonts w:ascii="Calibri" w:hAnsi="Calibri" w:cs="Calibri"/>
          <w:color w:val="000000"/>
          <w:sz w:val="22"/>
          <w:szCs w:val="22"/>
        </w:rPr>
        <w:t xml:space="preserve">. Based on the four clinical cases described here, the addition of Cr45D-CdV or Cd45D-CrV oblique views to the standard views may be beneficial, especially when advance imaging such as computed tomography is not available. </w:t>
      </w:r>
      <w:r w:rsidRPr="00392707">
        <w:rPr>
          <w:rFonts w:ascii="Calibri" w:hAnsi="Calibri" w:cs="Calibri"/>
          <w:b/>
          <w:bCs/>
          <w:color w:val="000000"/>
          <w:sz w:val="22"/>
          <w:szCs w:val="22"/>
        </w:rPr>
        <w:t>These oblique views can be used to better assess chelonian pectoral and pelvic girdles</w:t>
      </w:r>
      <w:r>
        <w:rPr>
          <w:rFonts w:ascii="Calibri" w:hAnsi="Calibri" w:cs="Calibri"/>
          <w:color w:val="000000"/>
          <w:sz w:val="22"/>
          <w:szCs w:val="22"/>
        </w:rPr>
        <w:t xml:space="preserve"> because these structures are superimposed in standard radiographs. Future studies investigating the diagnostic accuracy of detecting pelvic and pectoral girdle fractures using these views are warranted.</w:t>
      </w:r>
    </w:p>
    <w:p w14:paraId="7D4D7E17" w14:textId="77777777" w:rsidR="00DF5F8D" w:rsidRDefault="00DF5F8D" w:rsidP="00DF5F8D">
      <w:pPr>
        <w:pStyle w:val="NormalWeb"/>
        <w:spacing w:before="0" w:beforeAutospacing="0" w:after="0" w:afterAutospacing="0"/>
        <w:rPr>
          <w:rFonts w:ascii="Calibri" w:hAnsi="Calibri" w:cs="Calibri"/>
          <w:color w:val="000000"/>
          <w:sz w:val="22"/>
          <w:szCs w:val="22"/>
        </w:rPr>
      </w:pPr>
    </w:p>
    <w:p w14:paraId="20EB2FDE" w14:textId="77777777" w:rsidR="00DF5F8D" w:rsidRPr="00392707" w:rsidRDefault="00DF5F8D" w:rsidP="00DF5F8D">
      <w:pPr>
        <w:pStyle w:val="NormalWeb"/>
        <w:spacing w:before="0" w:beforeAutospacing="0" w:after="0" w:afterAutospacing="0"/>
        <w:rPr>
          <w:rFonts w:ascii="Calibri" w:hAnsi="Calibri" w:cs="Calibri"/>
          <w:b/>
          <w:bCs/>
          <w:color w:val="000000"/>
          <w:sz w:val="22"/>
          <w:szCs w:val="22"/>
        </w:rPr>
      </w:pPr>
      <w:r w:rsidRPr="00392707">
        <w:rPr>
          <w:rFonts w:ascii="Calibri" w:hAnsi="Calibri" w:cs="Calibri"/>
          <w:b/>
          <w:bCs/>
          <w:color w:val="000000"/>
          <w:sz w:val="22"/>
          <w:szCs w:val="22"/>
        </w:rPr>
        <w:t xml:space="preserve">Key Points: </w:t>
      </w:r>
    </w:p>
    <w:p w14:paraId="799826B2" w14:textId="77777777" w:rsidR="00DF5F8D" w:rsidRDefault="00DF5F8D" w:rsidP="00DF5F8D">
      <w:pPr>
        <w:pStyle w:val="NormalWeb"/>
        <w:numPr>
          <w:ilvl w:val="0"/>
          <w:numId w:val="8"/>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On the Cr45D-CdV, which should be used to assess the pectoral girdle, the order of the bones cranially to caudally is the acromion, coracoid, then scapula.</w:t>
      </w:r>
    </w:p>
    <w:p w14:paraId="5D116CB4" w14:textId="77777777" w:rsidR="00DF5F8D" w:rsidRDefault="00DF5F8D" w:rsidP="00DF5F8D">
      <w:pPr>
        <w:pStyle w:val="NormalWeb"/>
        <w:numPr>
          <w:ilvl w:val="1"/>
          <w:numId w:val="8"/>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Anatomical Note: Arrangement of pectoral girdle is called “triradiate morphology”</w:t>
      </w:r>
    </w:p>
    <w:p w14:paraId="008420EB" w14:textId="77777777" w:rsidR="00DF5F8D" w:rsidRDefault="00DF5F8D" w:rsidP="00DF5F8D">
      <w:pPr>
        <w:pStyle w:val="NormalWeb"/>
        <w:numPr>
          <w:ilvl w:val="0"/>
          <w:numId w:val="8"/>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On the Cd45D-CrV, which should be used to assess the pelvic girdle, the order of the bones of the pectoral girdle cranially to caudally is the scapula, acromion, then coracoid.</w:t>
      </w:r>
    </w:p>
    <w:p w14:paraId="67EF7D95" w14:textId="77777777" w:rsidR="00DF5F8D" w:rsidRDefault="00DF5F8D" w:rsidP="00DF5F8D">
      <w:pPr>
        <w:pStyle w:val="NormalWeb"/>
        <w:spacing w:before="0" w:beforeAutospacing="0" w:after="0" w:afterAutospacing="0"/>
        <w:rPr>
          <w:rFonts w:ascii="Calibri" w:hAnsi="Calibri" w:cs="Calibri"/>
          <w:color w:val="000000"/>
          <w:sz w:val="22"/>
          <w:szCs w:val="22"/>
        </w:rPr>
      </w:pPr>
    </w:p>
    <w:p w14:paraId="69B1AF65" w14:textId="77777777" w:rsidR="00DF5F8D" w:rsidRDefault="00DF5F8D" w:rsidP="00DF5F8D">
      <w:pPr>
        <w:pStyle w:val="NormalWeb"/>
        <w:spacing w:before="0" w:beforeAutospacing="0" w:after="0" w:afterAutospacing="0"/>
        <w:rPr>
          <w:color w:val="000000"/>
        </w:rPr>
      </w:pPr>
      <w:r w:rsidRPr="00392707">
        <w:rPr>
          <w:rFonts w:ascii="Calibri" w:hAnsi="Calibri" w:cs="Calibri"/>
          <w:b/>
          <w:bCs/>
          <w:color w:val="000000"/>
          <w:sz w:val="22"/>
          <w:szCs w:val="22"/>
        </w:rPr>
        <w:t>Take Home Point:</w:t>
      </w:r>
      <w:r>
        <w:rPr>
          <w:rFonts w:ascii="Calibri" w:hAnsi="Calibri" w:cs="Calibri"/>
          <w:color w:val="000000"/>
          <w:sz w:val="22"/>
          <w:szCs w:val="22"/>
        </w:rPr>
        <w:t xml:space="preserve"> In presumptive hit-by-car chelonian cases, Cr45D-CdV and Cd45DCrV oblique radiographic views were clinically useful for evaluation of pectoral and pelvic girdles (normally superimposed on traditional 3-view radiographs). </w:t>
      </w:r>
    </w:p>
    <w:p w14:paraId="60A29B11" w14:textId="77777777" w:rsidR="00DF5F8D" w:rsidRDefault="00DF5F8D" w:rsidP="00DF5F8D">
      <w:pPr>
        <w:spacing w:after="240"/>
      </w:pPr>
    </w:p>
    <w:p w14:paraId="5923D229" w14:textId="77777777" w:rsidR="00DF5F8D" w:rsidRDefault="00DF5F8D" w:rsidP="00DF5F8D">
      <w:pPr>
        <w:spacing w:after="240"/>
      </w:pPr>
      <w:r>
        <w:rPr>
          <w:rFonts w:ascii="Calibri" w:hAnsi="Calibri" w:cs="Calibri"/>
          <w:noProof/>
          <w:color w:val="000000"/>
          <w:bdr w:val="none" w:sz="0" w:space="0" w:color="auto" w:frame="1"/>
        </w:rPr>
        <w:lastRenderedPageBreak/>
        <w:drawing>
          <wp:inline distT="0" distB="0" distL="0" distR="0" wp14:anchorId="1FBCA892" wp14:editId="239BBB16">
            <wp:extent cx="5938520" cy="4984115"/>
            <wp:effectExtent l="0" t="0" r="5080" b="0"/>
            <wp:docPr id="1340226490" name="Picture 9" descr="A diagram of a tur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26490" name="Picture 12" descr="A diagram of a turtle&#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8520" cy="4984115"/>
                    </a:xfrm>
                    <a:prstGeom prst="rect">
                      <a:avLst/>
                    </a:prstGeom>
                    <a:noFill/>
                    <a:ln>
                      <a:noFill/>
                    </a:ln>
                  </pic:spPr>
                </pic:pic>
              </a:graphicData>
            </a:graphic>
          </wp:inline>
        </w:drawing>
      </w:r>
    </w:p>
    <w:p w14:paraId="4E4259D1" w14:textId="77777777" w:rsidR="00DF5F8D" w:rsidRDefault="00DF5F8D" w:rsidP="00DF5F8D">
      <w:pPr>
        <w:spacing w:after="240"/>
      </w:pPr>
      <w:r>
        <w:rPr>
          <w:rFonts w:ascii="Calibri" w:hAnsi="Calibri" w:cs="Calibri"/>
          <w:noProof/>
          <w:color w:val="000000"/>
          <w:bdr w:val="none" w:sz="0" w:space="0" w:color="auto" w:frame="1"/>
        </w:rPr>
        <w:drawing>
          <wp:inline distT="0" distB="0" distL="0" distR="0" wp14:anchorId="286510DD" wp14:editId="4844A7E8">
            <wp:extent cx="5315585" cy="2080260"/>
            <wp:effectExtent l="0" t="0" r="5715" b="2540"/>
            <wp:docPr id="1564920421" name="Picture 10" descr="A diagram of a tur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20421" name="Picture 9" descr="A diagram of a turtl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5585" cy="2080260"/>
                    </a:xfrm>
                    <a:prstGeom prst="rect">
                      <a:avLst/>
                    </a:prstGeom>
                    <a:noFill/>
                    <a:ln>
                      <a:noFill/>
                    </a:ln>
                  </pic:spPr>
                </pic:pic>
              </a:graphicData>
            </a:graphic>
          </wp:inline>
        </w:drawing>
      </w:r>
    </w:p>
    <w:p w14:paraId="627C887B" w14:textId="77777777" w:rsidR="00DF5F8D" w:rsidRDefault="00DF5F8D" w:rsidP="00DF5F8D">
      <w:pPr>
        <w:spacing w:after="240"/>
      </w:pPr>
      <w:r>
        <w:rPr>
          <w:rFonts w:ascii="Calibri" w:hAnsi="Calibri" w:cs="Calibri"/>
          <w:noProof/>
          <w:color w:val="000000"/>
          <w:bdr w:val="none" w:sz="0" w:space="0" w:color="auto" w:frame="1"/>
        </w:rPr>
        <w:lastRenderedPageBreak/>
        <w:drawing>
          <wp:inline distT="0" distB="0" distL="0" distR="0" wp14:anchorId="0CEA3CE9" wp14:editId="112F7104">
            <wp:extent cx="5938520" cy="3094990"/>
            <wp:effectExtent l="0" t="0" r="5080" b="3810"/>
            <wp:docPr id="1820848630" name="Picture 11" descr="A close-up of x-ray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48630" name="Picture 10" descr="A close-up of x-ray images&#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8520" cy="3094990"/>
                    </a:xfrm>
                    <a:prstGeom prst="rect">
                      <a:avLst/>
                    </a:prstGeom>
                    <a:noFill/>
                    <a:ln>
                      <a:noFill/>
                    </a:ln>
                  </pic:spPr>
                </pic:pic>
              </a:graphicData>
            </a:graphic>
          </wp:inline>
        </w:drawing>
      </w:r>
    </w:p>
    <w:p w14:paraId="5E8CC38E" w14:textId="77777777" w:rsidR="00DF5F8D" w:rsidRDefault="00DF5F8D" w:rsidP="00DF5F8D">
      <w:pPr>
        <w:spacing w:after="240"/>
      </w:pPr>
      <w:r>
        <w:rPr>
          <w:rFonts w:ascii="Calibri" w:hAnsi="Calibri" w:cs="Calibri"/>
          <w:noProof/>
          <w:color w:val="000000"/>
          <w:bdr w:val="none" w:sz="0" w:space="0" w:color="auto" w:frame="1"/>
        </w:rPr>
        <w:drawing>
          <wp:inline distT="0" distB="0" distL="0" distR="0" wp14:anchorId="640F6D09" wp14:editId="3ED6D028">
            <wp:extent cx="5888787" cy="2301072"/>
            <wp:effectExtent l="0" t="0" r="4445" b="0"/>
            <wp:docPr id="1092779944" name="Picture 12" descr="A close-up of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79944" name="Picture 11" descr="A close-up of a robot&#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6986" cy="2308183"/>
                    </a:xfrm>
                    <a:prstGeom prst="rect">
                      <a:avLst/>
                    </a:prstGeom>
                    <a:noFill/>
                    <a:ln>
                      <a:noFill/>
                    </a:ln>
                  </pic:spPr>
                </pic:pic>
              </a:graphicData>
            </a:graphic>
          </wp:inline>
        </w:drawing>
      </w:r>
    </w:p>
    <w:p w14:paraId="5936F580" w14:textId="77777777" w:rsidR="00DF5F8D" w:rsidRDefault="00DF5F8D" w:rsidP="00DF5F8D">
      <w:pPr>
        <w:spacing w:after="240"/>
      </w:pPr>
    </w:p>
    <w:p w14:paraId="2C752451" w14:textId="77777777" w:rsidR="00DF5F8D" w:rsidRDefault="00DF5F8D" w:rsidP="00DF5F8D"/>
    <w:p w14:paraId="24FEF1B9" w14:textId="77777777" w:rsidR="00DF5F8D" w:rsidRDefault="00DF5F8D" w:rsidP="00DF5F8D">
      <w:pPr>
        <w:rPr>
          <w:rFonts w:ascii="Calibri" w:hAnsi="Calibri" w:cs="Calibri"/>
        </w:rPr>
      </w:pPr>
      <w:r>
        <w:rPr>
          <w:rFonts w:ascii="Calibri" w:hAnsi="Calibri" w:cs="Calibri"/>
          <w:noProof/>
          <w14:ligatures w14:val="standardContextual"/>
        </w:rPr>
        <w:lastRenderedPageBreak/>
        <w:drawing>
          <wp:inline distT="0" distB="0" distL="0" distR="0" wp14:anchorId="51FC58DC" wp14:editId="58E9D0F4">
            <wp:extent cx="5943600" cy="4282440"/>
            <wp:effectExtent l="0" t="0" r="0" b="0"/>
            <wp:docPr id="859172712" name="Picture 13" descr="A close-up of a x-ray of a tur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72712" name="Picture 13" descr="A close-up of a x-ray of a turtl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4282440"/>
                    </a:xfrm>
                    <a:prstGeom prst="rect">
                      <a:avLst/>
                    </a:prstGeom>
                  </pic:spPr>
                </pic:pic>
              </a:graphicData>
            </a:graphic>
          </wp:inline>
        </w:drawing>
      </w:r>
    </w:p>
    <w:p w14:paraId="638C05D2" w14:textId="77777777" w:rsidR="00DF5F8D" w:rsidRDefault="00DF5F8D" w:rsidP="00DF5F8D">
      <w:pPr>
        <w:rPr>
          <w:rFonts w:ascii="Calibri" w:hAnsi="Calibri" w:cs="Calibri"/>
        </w:rPr>
      </w:pPr>
      <w:r>
        <w:rPr>
          <w:rFonts w:ascii="Calibri" w:hAnsi="Calibri" w:cs="Calibri"/>
          <w:noProof/>
          <w14:ligatures w14:val="standardContextual"/>
        </w:rPr>
        <w:lastRenderedPageBreak/>
        <w:drawing>
          <wp:inline distT="0" distB="0" distL="0" distR="0" wp14:anchorId="1D020319" wp14:editId="713DA37B">
            <wp:extent cx="5943600" cy="4414520"/>
            <wp:effectExtent l="0" t="0" r="0" b="5080"/>
            <wp:docPr id="2000392075" name="Picture 14" descr="A close-up of a radio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92075" name="Picture 14" descr="A close-up of a radiograph&#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4414520"/>
                    </a:xfrm>
                    <a:prstGeom prst="rect">
                      <a:avLst/>
                    </a:prstGeom>
                  </pic:spPr>
                </pic:pic>
              </a:graphicData>
            </a:graphic>
          </wp:inline>
        </w:drawing>
      </w:r>
    </w:p>
    <w:p w14:paraId="0DC82B4C" w14:textId="77777777" w:rsidR="00DF5F8D" w:rsidRDefault="00DF5F8D" w:rsidP="00DF5F8D">
      <w:pPr>
        <w:rPr>
          <w:rFonts w:ascii="Calibri" w:hAnsi="Calibri" w:cs="Calibri"/>
        </w:rPr>
      </w:pPr>
      <w:r>
        <w:rPr>
          <w:rFonts w:ascii="Calibri" w:hAnsi="Calibri" w:cs="Calibri"/>
          <w:noProof/>
          <w14:ligatures w14:val="standardContextual"/>
        </w:rPr>
        <w:lastRenderedPageBreak/>
        <w:drawing>
          <wp:inline distT="0" distB="0" distL="0" distR="0" wp14:anchorId="64B597DF" wp14:editId="25903F53">
            <wp:extent cx="5943600" cy="4591685"/>
            <wp:effectExtent l="0" t="0" r="0" b="5715"/>
            <wp:docPr id="133834156" name="Picture 15" descr="A close-up of a x-r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156" name="Picture 15" descr="A close-up of a x-ray&#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5331CC90" w14:textId="77777777" w:rsidR="00DF5F8D" w:rsidRPr="00392707" w:rsidRDefault="00DF5F8D" w:rsidP="00DF5F8D">
      <w:pPr>
        <w:rPr>
          <w:rFonts w:ascii="Calibri" w:hAnsi="Calibri" w:cs="Calibri"/>
        </w:rPr>
      </w:pPr>
    </w:p>
    <w:p w14:paraId="052BE3C8" w14:textId="77777777" w:rsidR="00B946F2" w:rsidRPr="00B946F2" w:rsidRDefault="00B946F2" w:rsidP="00B946F2">
      <w:pPr>
        <w:rPr>
          <w:rFonts w:ascii="Times New Roman" w:eastAsia="Times New Roman" w:hAnsi="Times New Roman" w:cs="Times New Roman"/>
          <w:i/>
          <w:sz w:val="18"/>
          <w:szCs w:val="18"/>
        </w:rPr>
      </w:pPr>
      <w:r w:rsidRPr="00B946F2">
        <w:rPr>
          <w:rFonts w:ascii="Times New Roman" w:eastAsia="Times New Roman" w:hAnsi="Times New Roman" w:cs="Times New Roman"/>
          <w:i/>
          <w:sz w:val="18"/>
          <w:szCs w:val="18"/>
        </w:rPr>
        <w:t xml:space="preserve">2024 AJVR 85.9 </w:t>
      </w:r>
    </w:p>
    <w:p w14:paraId="7FCE1BDC" w14:textId="77777777" w:rsidR="00B946F2" w:rsidRPr="00B946F2" w:rsidRDefault="00B946F2" w:rsidP="00B946F2">
      <w:pPr>
        <w:rPr>
          <w:rFonts w:ascii="Times New Roman" w:eastAsia="Times New Roman" w:hAnsi="Times New Roman" w:cs="Times New Roman"/>
        </w:rPr>
      </w:pPr>
      <w:r w:rsidRPr="00B946F2">
        <w:rPr>
          <w:rFonts w:ascii="Times New Roman" w:eastAsia="Times New Roman" w:hAnsi="Times New Roman" w:cs="Times New Roman"/>
        </w:rPr>
        <w:t>Subcutaneous amikacin administration in red-eared sliders (</w:t>
      </w:r>
      <w:r w:rsidRPr="00B946F2">
        <w:rPr>
          <w:rFonts w:ascii="Times New Roman" w:eastAsia="Times New Roman" w:hAnsi="Times New Roman" w:cs="Times New Roman"/>
          <w:i/>
        </w:rPr>
        <w:t>Trachemys scripta elegans</w:t>
      </w:r>
      <w:r w:rsidRPr="00B946F2">
        <w:rPr>
          <w:rFonts w:ascii="Times New Roman" w:eastAsia="Times New Roman" w:hAnsi="Times New Roman" w:cs="Times New Roman"/>
        </w:rPr>
        <w:t>) produces prolonged detectable plasma concentrations without biochemistry evidence of impaired renal function</w:t>
      </w:r>
    </w:p>
    <w:p w14:paraId="210FCD92" w14:textId="3E50D095"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Kara Hiebert, Heather Knych, Shawna Hawkins – summarized by MGF</w:t>
      </w:r>
    </w:p>
    <w:p w14:paraId="764E1D3F" w14:textId="77777777" w:rsidR="00B946F2" w:rsidRPr="00B946F2" w:rsidRDefault="00B946F2" w:rsidP="00B946F2">
      <w:pPr>
        <w:rPr>
          <w:rFonts w:ascii="Times New Roman" w:eastAsia="Times New Roman" w:hAnsi="Times New Roman" w:cs="Times New Roman"/>
        </w:rPr>
      </w:pPr>
    </w:p>
    <w:p w14:paraId="2DC4F778" w14:textId="77777777"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OBJECTIVE To establish pilot data on the plasma concentrations of SC amikacin at 2 doses in red-eared sliders and evaluate concurrent plasma biochemistry parameters. </w:t>
      </w:r>
    </w:p>
    <w:p w14:paraId="78567A8D" w14:textId="77777777"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ANIMALS 8 adult red-eared sliders (</w:t>
      </w:r>
      <w:r w:rsidRPr="00B946F2">
        <w:rPr>
          <w:rFonts w:ascii="Times New Roman" w:eastAsia="Times New Roman" w:hAnsi="Times New Roman" w:cs="Times New Roman"/>
          <w:i/>
          <w:sz w:val="20"/>
          <w:szCs w:val="20"/>
        </w:rPr>
        <w:t>Trachemys scripta elegans</w:t>
      </w:r>
      <w:r w:rsidRPr="00B946F2">
        <w:rPr>
          <w:rFonts w:ascii="Times New Roman" w:eastAsia="Times New Roman" w:hAnsi="Times New Roman" w:cs="Times New Roman"/>
          <w:sz w:val="20"/>
          <w:szCs w:val="20"/>
        </w:rPr>
        <w:t xml:space="preserve">). </w:t>
      </w:r>
    </w:p>
    <w:p w14:paraId="28A869C3" w14:textId="77777777"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METHODS Amikacin was administered SC at target doses of 5 and 10 mg/kg with a 3-week washout period. Blood samples were collected at 0, 24, 48, 72, and 96 hours </w:t>
      </w:r>
      <w:proofErr w:type="spellStart"/>
      <w:r w:rsidRPr="00B946F2">
        <w:rPr>
          <w:rFonts w:ascii="Times New Roman" w:eastAsia="Times New Roman" w:hAnsi="Times New Roman" w:cs="Times New Roman"/>
          <w:sz w:val="20"/>
          <w:szCs w:val="20"/>
        </w:rPr>
        <w:t>postadministration</w:t>
      </w:r>
      <w:proofErr w:type="spellEnd"/>
      <w:r w:rsidRPr="00B946F2">
        <w:rPr>
          <w:rFonts w:ascii="Times New Roman" w:eastAsia="Times New Roman" w:hAnsi="Times New Roman" w:cs="Times New Roman"/>
          <w:sz w:val="20"/>
          <w:szCs w:val="20"/>
        </w:rPr>
        <w:t xml:space="preserve">. Plasma amikacin concentrations were quantified using liquid chromatography tandem mass spectrometry. Plasma biochemistry analyses were performed before amikacin administration, 1 week post 5-mg/kg administration, and 1 week post 10-mg/kg administration. </w:t>
      </w:r>
    </w:p>
    <w:p w14:paraId="5FEE1EF3" w14:textId="77777777"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RESULTS Mean maximum amikacin plasma concentrations were recorded 24 hours after 5-mg/kg and 10-mg/kg dosing and were 17.5 ± 2.32 µg/mL and 23.6 ± 2.92 µg/mL, respectively. Mean plasma concentrations after 5-mg/kg dosing steadily decreased to 9.1 ± 0.92 µg/mL by 96 hours </w:t>
      </w:r>
      <w:proofErr w:type="spellStart"/>
      <w:r w:rsidRPr="00B946F2">
        <w:rPr>
          <w:rFonts w:ascii="Times New Roman" w:eastAsia="Times New Roman" w:hAnsi="Times New Roman" w:cs="Times New Roman"/>
          <w:sz w:val="20"/>
          <w:szCs w:val="20"/>
        </w:rPr>
        <w:t>postadministration</w:t>
      </w:r>
      <w:proofErr w:type="spellEnd"/>
      <w:r w:rsidRPr="00B946F2">
        <w:rPr>
          <w:rFonts w:ascii="Times New Roman" w:eastAsia="Times New Roman" w:hAnsi="Times New Roman" w:cs="Times New Roman"/>
          <w:sz w:val="20"/>
          <w:szCs w:val="20"/>
        </w:rPr>
        <w:t>. Amikacin remained detectable in all plasma samples 3 weeks post 5-mg/kg dosing with a mean plasma concentration of 1.04 ± 0.22 µg/</w:t>
      </w:r>
      <w:proofErr w:type="spellStart"/>
      <w:r w:rsidRPr="00B946F2">
        <w:rPr>
          <w:rFonts w:ascii="Times New Roman" w:eastAsia="Times New Roman" w:hAnsi="Times New Roman" w:cs="Times New Roman"/>
          <w:sz w:val="20"/>
          <w:szCs w:val="20"/>
        </w:rPr>
        <w:t>mL.</w:t>
      </w:r>
      <w:proofErr w:type="spellEnd"/>
      <w:r w:rsidRPr="00B946F2">
        <w:rPr>
          <w:rFonts w:ascii="Times New Roman" w:eastAsia="Times New Roman" w:hAnsi="Times New Roman" w:cs="Times New Roman"/>
          <w:sz w:val="20"/>
          <w:szCs w:val="20"/>
        </w:rPr>
        <w:t xml:space="preserve"> Mean plasma concentrations after 10-mg/kg dosing did not decrease over the 96-hour study period. There were no clinically relevant changes in biochemistry parameters. </w:t>
      </w:r>
    </w:p>
    <w:p w14:paraId="4D264A8F" w14:textId="77777777" w:rsidR="00B946F2" w:rsidRPr="00B946F2" w:rsidRDefault="00B946F2" w:rsidP="00B946F2">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CLINICAL RELEVANCE Amikacin persists at detectable plasma levels for at least 3 weeks after SC administration of a 5-mg/kg dose in </w:t>
      </w:r>
      <w:proofErr w:type="spellStart"/>
      <w:r w:rsidRPr="00B946F2">
        <w:rPr>
          <w:rFonts w:ascii="Times New Roman" w:eastAsia="Times New Roman" w:hAnsi="Times New Roman" w:cs="Times New Roman"/>
          <w:sz w:val="20"/>
          <w:szCs w:val="20"/>
        </w:rPr>
        <w:t>redeared</w:t>
      </w:r>
      <w:proofErr w:type="spellEnd"/>
      <w:r w:rsidRPr="00B946F2">
        <w:rPr>
          <w:rFonts w:ascii="Times New Roman" w:eastAsia="Times New Roman" w:hAnsi="Times New Roman" w:cs="Times New Roman"/>
          <w:sz w:val="20"/>
          <w:szCs w:val="20"/>
        </w:rPr>
        <w:t xml:space="preserve"> sliders, which has not previously been reported in any species. </w:t>
      </w:r>
      <w:r w:rsidRPr="00B946F2">
        <w:rPr>
          <w:rFonts w:ascii="Times New Roman" w:eastAsia="Times New Roman" w:hAnsi="Times New Roman" w:cs="Times New Roman"/>
          <w:sz w:val="20"/>
          <w:szCs w:val="20"/>
          <w:highlight w:val="yellow"/>
        </w:rPr>
        <w:t xml:space="preserve">No biochemistry </w:t>
      </w:r>
      <w:r w:rsidRPr="00B946F2">
        <w:rPr>
          <w:rFonts w:ascii="Times New Roman" w:eastAsia="Times New Roman" w:hAnsi="Times New Roman" w:cs="Times New Roman"/>
          <w:sz w:val="20"/>
          <w:szCs w:val="20"/>
          <w:highlight w:val="yellow"/>
        </w:rPr>
        <w:lastRenderedPageBreak/>
        <w:t>changes consistent with renal toxicity occurred after either dose</w:t>
      </w:r>
      <w:r w:rsidRPr="00B946F2">
        <w:rPr>
          <w:rFonts w:ascii="Times New Roman" w:eastAsia="Times New Roman" w:hAnsi="Times New Roman" w:cs="Times New Roman"/>
          <w:sz w:val="20"/>
          <w:szCs w:val="20"/>
        </w:rPr>
        <w:t>. Use caution with repeated amikacin dosing in this species until further studies can better characterize cumulative amikacin pharmacokinetics and toxic threshold.</w:t>
      </w:r>
    </w:p>
    <w:p w14:paraId="51073A92" w14:textId="77777777" w:rsidR="00B946F2" w:rsidRPr="00B946F2" w:rsidRDefault="00B946F2" w:rsidP="00B946F2">
      <w:pPr>
        <w:rPr>
          <w:rFonts w:ascii="Times New Roman" w:eastAsia="Times New Roman" w:hAnsi="Times New Roman" w:cs="Times New Roman"/>
          <w:sz w:val="20"/>
          <w:szCs w:val="20"/>
        </w:rPr>
      </w:pPr>
    </w:p>
    <w:p w14:paraId="1D5EDF17" w14:textId="77777777" w:rsidR="00B946F2" w:rsidRPr="00B946F2" w:rsidRDefault="00B946F2" w:rsidP="00B946F2">
      <w:pPr>
        <w:rPr>
          <w:rFonts w:ascii="Times New Roman" w:eastAsia="Times New Roman" w:hAnsi="Times New Roman" w:cs="Times New Roman"/>
        </w:rPr>
      </w:pPr>
      <w:r w:rsidRPr="00B946F2">
        <w:rPr>
          <w:rFonts w:ascii="Times New Roman" w:eastAsia="Times New Roman" w:hAnsi="Times New Roman" w:cs="Times New Roman"/>
        </w:rPr>
        <w:t xml:space="preserve">Summary </w:t>
      </w:r>
    </w:p>
    <w:p w14:paraId="5BA125FC"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 xml:space="preserve">Amikacin: aminoglycoside; bactericidal, broad-spectrum particularly against gram-neg </w:t>
      </w:r>
      <w:proofErr w:type="spellStart"/>
      <w:r w:rsidRPr="00B946F2">
        <w:rPr>
          <w:rFonts w:ascii="Times New Roman" w:eastAsia="Times New Roman" w:hAnsi="Times New Roman" w:cs="Times New Roman"/>
        </w:rPr>
        <w:t>becili</w:t>
      </w:r>
      <w:proofErr w:type="spellEnd"/>
      <w:r w:rsidRPr="00B946F2">
        <w:rPr>
          <w:rFonts w:ascii="Times New Roman" w:eastAsia="Times New Roman" w:hAnsi="Times New Roman" w:cs="Times New Roman"/>
        </w:rPr>
        <w:t xml:space="preserve"> </w:t>
      </w:r>
    </w:p>
    <w:p w14:paraId="503B09F7" w14:textId="77777777" w:rsidR="00B946F2" w:rsidRPr="00B946F2" w:rsidRDefault="00B946F2" w:rsidP="00B946F2">
      <w:pPr>
        <w:numPr>
          <w:ilvl w:val="1"/>
          <w:numId w:val="2"/>
        </w:numPr>
        <w:rPr>
          <w:rFonts w:ascii="Times New Roman" w:eastAsia="Times New Roman" w:hAnsi="Times New Roman" w:cs="Times New Roman"/>
        </w:rPr>
      </w:pPr>
      <w:r w:rsidRPr="00B946F2">
        <w:rPr>
          <w:rFonts w:ascii="Times New Roman" w:eastAsia="Times New Roman" w:hAnsi="Times New Roman" w:cs="Times New Roman"/>
        </w:rPr>
        <w:t xml:space="preserve">Commonly used against </w:t>
      </w:r>
      <w:r w:rsidRPr="00B946F2">
        <w:rPr>
          <w:rFonts w:ascii="Times New Roman" w:eastAsia="Times New Roman" w:hAnsi="Times New Roman" w:cs="Times New Roman"/>
          <w:i/>
        </w:rPr>
        <w:t xml:space="preserve">Pseudomonas </w:t>
      </w:r>
      <w:proofErr w:type="spellStart"/>
      <w:r w:rsidRPr="00B946F2">
        <w:rPr>
          <w:rFonts w:ascii="Times New Roman" w:eastAsia="Times New Roman" w:hAnsi="Times New Roman" w:cs="Times New Roman"/>
          <w:i/>
        </w:rPr>
        <w:t>spp</w:t>
      </w:r>
      <w:proofErr w:type="spellEnd"/>
      <w:r w:rsidRPr="00B946F2">
        <w:rPr>
          <w:rFonts w:ascii="Times New Roman" w:eastAsia="Times New Roman" w:hAnsi="Times New Roman" w:cs="Times New Roman"/>
          <w:i/>
        </w:rPr>
        <w:t xml:space="preserve">, </w:t>
      </w:r>
      <w:proofErr w:type="spellStart"/>
      <w:r w:rsidRPr="00B946F2">
        <w:rPr>
          <w:rFonts w:ascii="Times New Roman" w:eastAsia="Times New Roman" w:hAnsi="Times New Roman" w:cs="Times New Roman"/>
        </w:rPr>
        <w:t>Enterobactericeae</w:t>
      </w:r>
      <w:proofErr w:type="spellEnd"/>
      <w:r w:rsidRPr="00B946F2">
        <w:rPr>
          <w:rFonts w:ascii="Times New Roman" w:eastAsia="Times New Roman" w:hAnsi="Times New Roman" w:cs="Times New Roman"/>
          <w:i/>
        </w:rPr>
        <w:t xml:space="preserve">, Aeromonas </w:t>
      </w:r>
      <w:proofErr w:type="spellStart"/>
      <w:r w:rsidRPr="00B946F2">
        <w:rPr>
          <w:rFonts w:ascii="Times New Roman" w:eastAsia="Times New Roman" w:hAnsi="Times New Roman" w:cs="Times New Roman"/>
          <w:i/>
        </w:rPr>
        <w:t>spp</w:t>
      </w:r>
      <w:proofErr w:type="spellEnd"/>
      <w:r w:rsidRPr="00B946F2">
        <w:rPr>
          <w:rFonts w:ascii="Times New Roman" w:eastAsia="Times New Roman" w:hAnsi="Times New Roman" w:cs="Times New Roman"/>
          <w:i/>
        </w:rPr>
        <w:t xml:space="preserve">, </w:t>
      </w:r>
      <w:proofErr w:type="spellStart"/>
      <w:r w:rsidRPr="00B946F2">
        <w:rPr>
          <w:rFonts w:ascii="Times New Roman" w:eastAsia="Times New Roman" w:hAnsi="Times New Roman" w:cs="Times New Roman"/>
          <w:i/>
        </w:rPr>
        <w:t>Morganella</w:t>
      </w:r>
      <w:proofErr w:type="spellEnd"/>
      <w:r w:rsidRPr="00B946F2">
        <w:rPr>
          <w:rFonts w:ascii="Times New Roman" w:eastAsia="Times New Roman" w:hAnsi="Times New Roman" w:cs="Times New Roman"/>
          <w:i/>
        </w:rPr>
        <w:t xml:space="preserve"> </w:t>
      </w:r>
      <w:proofErr w:type="spellStart"/>
      <w:r w:rsidRPr="00B946F2">
        <w:rPr>
          <w:rFonts w:ascii="Times New Roman" w:eastAsia="Times New Roman" w:hAnsi="Times New Roman" w:cs="Times New Roman"/>
          <w:i/>
        </w:rPr>
        <w:t>spp</w:t>
      </w:r>
      <w:proofErr w:type="spellEnd"/>
      <w:r w:rsidRPr="00B946F2">
        <w:rPr>
          <w:rFonts w:ascii="Times New Roman" w:eastAsia="Times New Roman" w:hAnsi="Times New Roman" w:cs="Times New Roman"/>
          <w:i/>
        </w:rPr>
        <w:t xml:space="preserve">, Proteus </w:t>
      </w:r>
      <w:proofErr w:type="spellStart"/>
      <w:r w:rsidRPr="00B946F2">
        <w:rPr>
          <w:rFonts w:ascii="Times New Roman" w:eastAsia="Times New Roman" w:hAnsi="Times New Roman" w:cs="Times New Roman"/>
          <w:i/>
        </w:rPr>
        <w:t>spp</w:t>
      </w:r>
      <w:proofErr w:type="spellEnd"/>
      <w:r w:rsidRPr="00B946F2">
        <w:rPr>
          <w:rFonts w:ascii="Times New Roman" w:eastAsia="Times New Roman" w:hAnsi="Times New Roman" w:cs="Times New Roman"/>
        </w:rPr>
        <w:t xml:space="preserve"> (all gram neg commonly in pet turtles) </w:t>
      </w:r>
    </w:p>
    <w:p w14:paraId="03FA2545" w14:textId="77777777" w:rsidR="00B946F2" w:rsidRPr="00B946F2" w:rsidRDefault="00B946F2" w:rsidP="00B946F2">
      <w:pPr>
        <w:numPr>
          <w:ilvl w:val="1"/>
          <w:numId w:val="2"/>
        </w:numPr>
        <w:rPr>
          <w:rFonts w:ascii="Times New Roman" w:eastAsia="Times New Roman" w:hAnsi="Times New Roman" w:cs="Times New Roman"/>
        </w:rPr>
      </w:pPr>
      <w:r w:rsidRPr="00B946F2">
        <w:rPr>
          <w:rFonts w:ascii="Times New Roman" w:eastAsia="Cardo" w:hAnsi="Times New Roman" w:cs="Times New Roman"/>
        </w:rPr>
        <w:t>Common mammalian adverse effect: nephrotoxicity → not documented in reptiles; vs gentamicin (aminoglycoside) nephrotoxicity in ball python + Haitian boa and renal tubule necrosis and visceral gout in gopher snakes (at 50mg/kg/day; no PK data)</w:t>
      </w:r>
    </w:p>
    <w:p w14:paraId="2E74880E"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 xml:space="preserve">Previous amikacin PK reptiles: gopher snake 5mg/kg followed by 2.5mg/kg q72hr when high end of optimal temp; ball python IM remained elevated 6 d after so single admin recommended (no difference in temp changes); juvenile </w:t>
      </w:r>
      <w:proofErr w:type="spellStart"/>
      <w:r w:rsidRPr="00B946F2">
        <w:rPr>
          <w:rFonts w:ascii="Times New Roman" w:eastAsia="Times New Roman" w:hAnsi="Times New Roman" w:cs="Times New Roman"/>
        </w:rPr>
        <w:t>american</w:t>
      </w:r>
      <w:proofErr w:type="spellEnd"/>
      <w:r w:rsidRPr="00B946F2">
        <w:rPr>
          <w:rFonts w:ascii="Times New Roman" w:eastAsia="Times New Roman" w:hAnsi="Times New Roman" w:cs="Times New Roman"/>
        </w:rPr>
        <w:t xml:space="preserve"> alligators 1.75 and 2.25mg/kg found t</w:t>
      </w:r>
      <w:r w:rsidRPr="00B946F2">
        <w:rPr>
          <w:rFonts w:ascii="Times New Roman" w:eastAsia="Times New Roman" w:hAnsi="Times New Roman" w:cs="Times New Roman"/>
          <w:vertAlign w:val="subscript"/>
        </w:rPr>
        <w:t>1/2</w:t>
      </w:r>
      <w:r w:rsidRPr="00B946F2">
        <w:rPr>
          <w:rFonts w:ascii="Times New Roman" w:eastAsia="Times New Roman" w:hAnsi="Times New Roman" w:cs="Times New Roman"/>
        </w:rPr>
        <w:t xml:space="preserve"> of ~50hr</w:t>
      </w:r>
    </w:p>
    <w:p w14:paraId="47945F92" w14:textId="77777777" w:rsidR="00B946F2" w:rsidRPr="00B946F2" w:rsidRDefault="00B946F2" w:rsidP="00B946F2">
      <w:pPr>
        <w:numPr>
          <w:ilvl w:val="1"/>
          <w:numId w:val="2"/>
        </w:numPr>
        <w:rPr>
          <w:rFonts w:ascii="Times New Roman" w:eastAsia="Times New Roman" w:hAnsi="Times New Roman" w:cs="Times New Roman"/>
        </w:rPr>
      </w:pPr>
      <w:r w:rsidRPr="00B946F2">
        <w:rPr>
          <w:rFonts w:ascii="Times New Roman" w:eastAsia="Times New Roman" w:hAnsi="Times New Roman" w:cs="Times New Roman"/>
        </w:rPr>
        <w:t>Chelonians: gopher tortoise 5mg/kg: clearance higher in those housed at 30</w:t>
      </w:r>
      <w:r w:rsidRPr="00B946F2">
        <w:rPr>
          <w:rFonts w:ascii="Times New Roman" w:eastAsia="Times New Roman" w:hAnsi="Times New Roman" w:cs="Times New Roman"/>
          <w:vertAlign w:val="superscript"/>
        </w:rPr>
        <w:t>o</w:t>
      </w:r>
      <w:r w:rsidRPr="00B946F2">
        <w:rPr>
          <w:rFonts w:ascii="Times New Roman" w:eastAsia="Times New Roman" w:hAnsi="Times New Roman" w:cs="Times New Roman"/>
        </w:rPr>
        <w:t xml:space="preserve"> C than 20</w:t>
      </w:r>
      <w:r w:rsidRPr="00B946F2">
        <w:rPr>
          <w:rFonts w:ascii="Times New Roman" w:eastAsia="Times New Roman" w:hAnsi="Times New Roman" w:cs="Times New Roman"/>
          <w:vertAlign w:val="superscript"/>
        </w:rPr>
        <w:t>o</w:t>
      </w:r>
      <w:r w:rsidRPr="00B946F2">
        <w:rPr>
          <w:rFonts w:ascii="Times New Roman" w:eastAsia="Times New Roman" w:hAnsi="Times New Roman" w:cs="Times New Roman"/>
        </w:rPr>
        <w:t xml:space="preserve">C </w:t>
      </w:r>
    </w:p>
    <w:p w14:paraId="22233FC1" w14:textId="77777777" w:rsidR="00B946F2" w:rsidRPr="00B946F2" w:rsidRDefault="00B946F2" w:rsidP="00B946F2">
      <w:pPr>
        <w:numPr>
          <w:ilvl w:val="1"/>
          <w:numId w:val="2"/>
        </w:numPr>
        <w:rPr>
          <w:rFonts w:ascii="Times New Roman" w:eastAsia="Times New Roman" w:hAnsi="Times New Roman" w:cs="Times New Roman"/>
        </w:rPr>
      </w:pPr>
      <w:r w:rsidRPr="00B946F2">
        <w:rPr>
          <w:rFonts w:ascii="Times New Roman" w:eastAsia="Times New Roman" w:hAnsi="Times New Roman" w:cs="Times New Roman"/>
        </w:rPr>
        <w:t xml:space="preserve">Suggest temperature effect on amikacin PK species dependent (this study all same temp) </w:t>
      </w:r>
    </w:p>
    <w:p w14:paraId="3D518F2D"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Cardo" w:hAnsi="Times New Roman" w:cs="Times New Roman"/>
        </w:rPr>
        <w:t xml:space="preserve">Used 8 red eared sliders; temp 75-81F, each received fenbendazole 50mg/kg 2 </w:t>
      </w:r>
      <w:proofErr w:type="gramStart"/>
      <w:r w:rsidRPr="00B946F2">
        <w:rPr>
          <w:rFonts w:ascii="Times New Roman" w:eastAsia="Cardo" w:hAnsi="Times New Roman" w:cs="Times New Roman"/>
        </w:rPr>
        <w:t>week</w:t>
      </w:r>
      <w:proofErr w:type="gramEnd"/>
      <w:r w:rsidRPr="00B946F2">
        <w:rPr>
          <w:rFonts w:ascii="Times New Roman" w:eastAsia="Cardo" w:hAnsi="Times New Roman" w:cs="Times New Roman"/>
        </w:rPr>
        <w:t xml:space="preserve"> prior, chemistry (</w:t>
      </w:r>
      <w:proofErr w:type="spellStart"/>
      <w:r w:rsidRPr="00B946F2">
        <w:rPr>
          <w:rFonts w:ascii="Times New Roman" w:eastAsia="Cardo" w:hAnsi="Times New Roman" w:cs="Times New Roman"/>
        </w:rPr>
        <w:t>subcarapacial</w:t>
      </w:r>
      <w:proofErr w:type="spellEnd"/>
      <w:r w:rsidRPr="00B946F2">
        <w:rPr>
          <w:rFonts w:ascii="Times New Roman" w:eastAsia="Cardo" w:hAnsi="Times New Roman" w:cs="Times New Roman"/>
        </w:rPr>
        <w:t xml:space="preserve"> plexus); each received amikacin at 5mg/kg SC and then 10mg/kg SC after 3 week washout period → first study evaluating SC in reptile </w:t>
      </w:r>
    </w:p>
    <w:p w14:paraId="7CEE96CC"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 xml:space="preserve">Measurable amikacin plasma concentrations more than 9ug/mL &gt; 96 </w:t>
      </w:r>
      <w:proofErr w:type="spellStart"/>
      <w:r w:rsidRPr="00B946F2">
        <w:rPr>
          <w:rFonts w:ascii="Times New Roman" w:eastAsia="Times New Roman" w:hAnsi="Times New Roman" w:cs="Times New Roman"/>
        </w:rPr>
        <w:t>hrs</w:t>
      </w:r>
      <w:proofErr w:type="spellEnd"/>
      <w:r w:rsidRPr="00B946F2">
        <w:rPr>
          <w:rFonts w:ascii="Times New Roman" w:eastAsia="Times New Roman" w:hAnsi="Times New Roman" w:cs="Times New Roman"/>
        </w:rPr>
        <w:t xml:space="preserve"> after SC admin at 5mg/kg or 10mg/kg; </w:t>
      </w:r>
      <w:r w:rsidRPr="00B946F2">
        <w:rPr>
          <w:rFonts w:ascii="Times New Roman" w:eastAsia="Times New Roman" w:hAnsi="Times New Roman" w:cs="Times New Roman"/>
          <w:highlight w:val="yellow"/>
        </w:rPr>
        <w:t>persistent detectable levels of amikacin 3 weeks past initial 5mg/kg dose</w:t>
      </w:r>
    </w:p>
    <w:p w14:paraId="681C0E10"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Plasma concentrations didn’t decrease during study after 10mg/kg dose reached peak (23ug/mL)</w:t>
      </w:r>
    </w:p>
    <w:p w14:paraId="175462B1"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No detectable cutaneous redness, swelling, discoloration or other reaction</w:t>
      </w:r>
    </w:p>
    <w:p w14:paraId="1B5AE2D7"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No biochemistry changes after amikacin administration; didn’t evaluate histopathologic change</w:t>
      </w:r>
    </w:p>
    <w:p w14:paraId="08BD10F9" w14:textId="77777777" w:rsidR="00B946F2" w:rsidRPr="00B946F2" w:rsidRDefault="00B946F2" w:rsidP="00B946F2">
      <w:pPr>
        <w:numPr>
          <w:ilvl w:val="1"/>
          <w:numId w:val="2"/>
        </w:numPr>
        <w:rPr>
          <w:rFonts w:ascii="Times New Roman" w:eastAsia="Times New Roman" w:hAnsi="Times New Roman" w:cs="Times New Roman"/>
        </w:rPr>
      </w:pPr>
      <w:r w:rsidRPr="00B946F2">
        <w:rPr>
          <w:rFonts w:ascii="Times New Roman" w:eastAsia="Times New Roman" w:hAnsi="Times New Roman" w:cs="Times New Roman"/>
        </w:rPr>
        <w:t xml:space="preserve">Uric acid = marker of renal </w:t>
      </w:r>
      <w:proofErr w:type="spellStart"/>
      <w:r w:rsidRPr="00B946F2">
        <w:rPr>
          <w:rFonts w:ascii="Times New Roman" w:eastAsia="Times New Roman" w:hAnsi="Times New Roman" w:cs="Times New Roman"/>
        </w:rPr>
        <w:t>fxn</w:t>
      </w:r>
      <w:proofErr w:type="spellEnd"/>
      <w:r w:rsidRPr="00B946F2">
        <w:rPr>
          <w:rFonts w:ascii="Times New Roman" w:eastAsia="Times New Roman" w:hAnsi="Times New Roman" w:cs="Times New Roman"/>
        </w:rPr>
        <w:t xml:space="preserve"> in reptiles; this study </w:t>
      </w:r>
      <w:r w:rsidRPr="00B946F2">
        <w:rPr>
          <w:rFonts w:ascii="Times New Roman" w:eastAsia="Times New Roman" w:hAnsi="Times New Roman" w:cs="Times New Roman"/>
          <w:b/>
        </w:rPr>
        <w:t>significant decrease</w:t>
      </w:r>
      <w:r w:rsidRPr="00B946F2">
        <w:rPr>
          <w:rFonts w:ascii="Times New Roman" w:eastAsia="Times New Roman" w:hAnsi="Times New Roman" w:cs="Times New Roman"/>
        </w:rPr>
        <w:t xml:space="preserve"> and remained within normal limits for species after amikacin (opposite of what expect); Ca and Na also decreased but remained WNL for species </w:t>
      </w:r>
    </w:p>
    <w:p w14:paraId="5840E324" w14:textId="77777777" w:rsidR="00B946F2" w:rsidRPr="00B946F2" w:rsidRDefault="00B946F2" w:rsidP="00B946F2">
      <w:pPr>
        <w:numPr>
          <w:ilvl w:val="0"/>
          <w:numId w:val="2"/>
        </w:numPr>
        <w:rPr>
          <w:rFonts w:ascii="Times New Roman" w:eastAsia="Times New Roman" w:hAnsi="Times New Roman" w:cs="Times New Roman"/>
        </w:rPr>
      </w:pPr>
      <w:r w:rsidRPr="00B946F2">
        <w:rPr>
          <w:rFonts w:ascii="Times New Roman" w:eastAsia="Times New Roman" w:hAnsi="Times New Roman" w:cs="Times New Roman"/>
        </w:rPr>
        <w:t xml:space="preserve">Other studies: Ceftiofur sodium in iguana peak plasma 40 min; buprenorphine 1 </w:t>
      </w:r>
      <w:proofErr w:type="spellStart"/>
      <w:r w:rsidRPr="00B946F2">
        <w:rPr>
          <w:rFonts w:ascii="Times New Roman" w:eastAsia="Times New Roman" w:hAnsi="Times New Roman" w:cs="Times New Roman"/>
        </w:rPr>
        <w:t>hr</w:t>
      </w:r>
      <w:proofErr w:type="spellEnd"/>
      <w:r w:rsidRPr="00B946F2">
        <w:rPr>
          <w:rFonts w:ascii="Times New Roman" w:eastAsia="Times New Roman" w:hAnsi="Times New Roman" w:cs="Times New Roman"/>
        </w:rPr>
        <w:t xml:space="preserve">; </w:t>
      </w:r>
      <w:proofErr w:type="spellStart"/>
      <w:r w:rsidRPr="00B946F2">
        <w:rPr>
          <w:rFonts w:ascii="Times New Roman" w:eastAsia="Times New Roman" w:hAnsi="Times New Roman" w:cs="Times New Roman"/>
        </w:rPr>
        <w:t>excede</w:t>
      </w:r>
      <w:proofErr w:type="spellEnd"/>
      <w:r w:rsidRPr="00B946F2">
        <w:rPr>
          <w:rFonts w:ascii="Times New Roman" w:eastAsia="Times New Roman" w:hAnsi="Times New Roman" w:cs="Times New Roman"/>
        </w:rPr>
        <w:t xml:space="preserve"> CS bearded dragon 33 </w:t>
      </w:r>
      <w:proofErr w:type="spellStart"/>
      <w:r w:rsidRPr="00B946F2">
        <w:rPr>
          <w:rFonts w:ascii="Times New Roman" w:eastAsia="Times New Roman" w:hAnsi="Times New Roman" w:cs="Times New Roman"/>
        </w:rPr>
        <w:t>hrs</w:t>
      </w:r>
      <w:proofErr w:type="spellEnd"/>
      <w:r w:rsidRPr="00B946F2">
        <w:rPr>
          <w:rFonts w:ascii="Times New Roman" w:eastAsia="Times New Roman" w:hAnsi="Times New Roman" w:cs="Times New Roman"/>
        </w:rPr>
        <w:t xml:space="preserve">; compared this study did not evaluate samples &lt; 24 </w:t>
      </w:r>
      <w:proofErr w:type="spellStart"/>
      <w:r w:rsidRPr="00B946F2">
        <w:rPr>
          <w:rFonts w:ascii="Times New Roman" w:eastAsia="Times New Roman" w:hAnsi="Times New Roman" w:cs="Times New Roman"/>
        </w:rPr>
        <w:t>hrs</w:t>
      </w:r>
      <w:proofErr w:type="spellEnd"/>
      <w:r w:rsidRPr="00B946F2">
        <w:rPr>
          <w:rFonts w:ascii="Times New Roman" w:eastAsia="Times New Roman" w:hAnsi="Times New Roman" w:cs="Times New Roman"/>
        </w:rPr>
        <w:t xml:space="preserve"> </w:t>
      </w:r>
    </w:p>
    <w:p w14:paraId="4C56CF3E" w14:textId="77777777" w:rsidR="00B946F2" w:rsidRPr="00B946F2" w:rsidRDefault="00B946F2" w:rsidP="00B946F2">
      <w:pPr>
        <w:rPr>
          <w:rFonts w:ascii="Times New Roman" w:eastAsia="Times New Roman" w:hAnsi="Times New Roman" w:cs="Times New Roman"/>
        </w:rPr>
      </w:pPr>
    </w:p>
    <w:p w14:paraId="39595E55" w14:textId="77777777" w:rsidR="00B946F2" w:rsidRPr="00B946F2" w:rsidRDefault="00B946F2" w:rsidP="00B946F2">
      <w:pPr>
        <w:rPr>
          <w:rFonts w:ascii="Times New Roman" w:eastAsia="Times New Roman" w:hAnsi="Times New Roman" w:cs="Times New Roman"/>
        </w:rPr>
      </w:pPr>
      <w:proofErr w:type="spellStart"/>
      <w:r w:rsidRPr="00B946F2">
        <w:rPr>
          <w:rFonts w:ascii="Times New Roman" w:eastAsia="Times New Roman" w:hAnsi="Times New Roman" w:cs="Times New Roman"/>
        </w:rPr>
        <w:t>Takehome</w:t>
      </w:r>
      <w:proofErr w:type="spellEnd"/>
      <w:r w:rsidRPr="00B946F2">
        <w:rPr>
          <w:rFonts w:ascii="Times New Roman" w:eastAsia="Times New Roman" w:hAnsi="Times New Roman" w:cs="Times New Roman"/>
        </w:rPr>
        <w:t xml:space="preserve">: Amikacin persists at detectable plasma levels for at least 3 weeks after SC administration of a 5-mg/kg dose in </w:t>
      </w:r>
      <w:proofErr w:type="spellStart"/>
      <w:r w:rsidRPr="00B946F2">
        <w:rPr>
          <w:rFonts w:ascii="Times New Roman" w:eastAsia="Times New Roman" w:hAnsi="Times New Roman" w:cs="Times New Roman"/>
        </w:rPr>
        <w:t>redeared</w:t>
      </w:r>
      <w:proofErr w:type="spellEnd"/>
      <w:r w:rsidRPr="00B946F2">
        <w:rPr>
          <w:rFonts w:ascii="Times New Roman" w:eastAsia="Times New Roman" w:hAnsi="Times New Roman" w:cs="Times New Roman"/>
        </w:rPr>
        <w:t xml:space="preserve"> sliders (</w:t>
      </w:r>
      <w:r w:rsidRPr="00B946F2">
        <w:rPr>
          <w:rFonts w:ascii="Times New Roman" w:eastAsia="Times New Roman" w:hAnsi="Times New Roman" w:cs="Times New Roman"/>
          <w:i/>
        </w:rPr>
        <w:t>Trachemys scripta elegans</w:t>
      </w:r>
      <w:r w:rsidRPr="00B946F2">
        <w:rPr>
          <w:rFonts w:ascii="Times New Roman" w:eastAsia="Times New Roman" w:hAnsi="Times New Roman" w:cs="Times New Roman"/>
        </w:rPr>
        <w:t>) and no cutaneous adverse effects or biochemistry changes consistent with renal toxicity occurred after either (5mg/kg, 10mg/kg) dose.</w:t>
      </w:r>
    </w:p>
    <w:p w14:paraId="3DC1D083" w14:textId="77777777" w:rsidR="00B946F2" w:rsidRPr="00B946F2" w:rsidRDefault="00B946F2">
      <w:pPr>
        <w:rPr>
          <w:rFonts w:ascii="Times New Roman" w:eastAsia="Times New Roman" w:hAnsi="Times New Roman" w:cs="Times New Roman"/>
          <w:i/>
          <w:sz w:val="18"/>
          <w:szCs w:val="18"/>
        </w:rPr>
      </w:pPr>
    </w:p>
    <w:p w14:paraId="0D2FFDE5" w14:textId="77777777" w:rsidR="00B946F2" w:rsidRPr="00B946F2" w:rsidRDefault="00B946F2">
      <w:pPr>
        <w:rPr>
          <w:rFonts w:ascii="Times New Roman" w:eastAsia="Times New Roman" w:hAnsi="Times New Roman" w:cs="Times New Roman"/>
          <w:i/>
          <w:sz w:val="18"/>
          <w:szCs w:val="18"/>
        </w:rPr>
      </w:pPr>
    </w:p>
    <w:p w14:paraId="735A9D7B" w14:textId="4F6913F8" w:rsidR="00B36B91" w:rsidRPr="00B946F2" w:rsidRDefault="00000000">
      <w:pPr>
        <w:rPr>
          <w:rFonts w:ascii="Times New Roman" w:eastAsia="Times New Roman" w:hAnsi="Times New Roman" w:cs="Times New Roman"/>
          <w:i/>
          <w:sz w:val="18"/>
          <w:szCs w:val="18"/>
        </w:rPr>
      </w:pPr>
      <w:r w:rsidRPr="00B946F2">
        <w:rPr>
          <w:rFonts w:ascii="Times New Roman" w:eastAsia="Times New Roman" w:hAnsi="Times New Roman" w:cs="Times New Roman"/>
          <w:i/>
          <w:sz w:val="18"/>
          <w:szCs w:val="18"/>
        </w:rPr>
        <w:t xml:space="preserve">2024 AJVR 85.5 </w:t>
      </w:r>
    </w:p>
    <w:p w14:paraId="76586F57" w14:textId="77777777" w:rsidR="00B36B91" w:rsidRPr="00B946F2" w:rsidRDefault="00000000">
      <w:pPr>
        <w:rPr>
          <w:rFonts w:ascii="Times New Roman" w:eastAsia="Times New Roman" w:hAnsi="Times New Roman" w:cs="Times New Roman"/>
        </w:rPr>
      </w:pPr>
      <w:r w:rsidRPr="00B946F2">
        <w:rPr>
          <w:rFonts w:ascii="Times New Roman" w:eastAsia="Times New Roman" w:hAnsi="Times New Roman" w:cs="Times New Roman"/>
        </w:rPr>
        <w:t>Subcutaneous administration of ceftazidime at 20 and 40 mg/kg produces theoretically therapeutic plasma concentrations for at least 120 hours in red-eared sliders (Trachemys scripta elegans)</w:t>
      </w:r>
    </w:p>
    <w:p w14:paraId="39B45FF5" w14:textId="2DE5DA4F" w:rsidR="00B36B91" w:rsidRPr="00B946F2" w:rsidRDefault="00000000">
      <w:pPr>
        <w:rPr>
          <w:rFonts w:ascii="Times New Roman" w:eastAsia="Times New Roman" w:hAnsi="Times New Roman" w:cs="Times New Roman"/>
          <w:sz w:val="18"/>
          <w:szCs w:val="18"/>
        </w:rPr>
      </w:pPr>
      <w:r w:rsidRPr="00B946F2">
        <w:rPr>
          <w:rFonts w:ascii="Times New Roman" w:eastAsia="Times New Roman" w:hAnsi="Times New Roman" w:cs="Times New Roman"/>
          <w:sz w:val="18"/>
          <w:szCs w:val="18"/>
        </w:rPr>
        <w:t>Kara Hiebert, Sherry Cox, Shawna Hawkins</w:t>
      </w:r>
      <w:r w:rsidR="00B946F2" w:rsidRPr="00B946F2">
        <w:rPr>
          <w:rFonts w:ascii="Times New Roman" w:eastAsia="Times New Roman" w:hAnsi="Times New Roman" w:cs="Times New Roman"/>
          <w:sz w:val="18"/>
          <w:szCs w:val="18"/>
        </w:rPr>
        <w:t xml:space="preserve"> – summarized by MGF</w:t>
      </w:r>
    </w:p>
    <w:p w14:paraId="57D1FD83" w14:textId="77777777" w:rsidR="00B36B91" w:rsidRPr="00B946F2" w:rsidRDefault="00B36B91">
      <w:pPr>
        <w:rPr>
          <w:rFonts w:ascii="Times New Roman" w:eastAsia="Times New Roman" w:hAnsi="Times New Roman" w:cs="Times New Roman"/>
          <w:sz w:val="8"/>
          <w:szCs w:val="8"/>
        </w:rPr>
      </w:pPr>
    </w:p>
    <w:p w14:paraId="2DF77DAE" w14:textId="77777777" w:rsidR="00B36B91" w:rsidRPr="00B946F2" w:rsidRDefault="00000000">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OBJECTIVE To evaluate and compare the pharmacokinetic parameters of SC ceftazidime administered at 20 and 40 mg/kg to red-eared sliders. </w:t>
      </w:r>
    </w:p>
    <w:p w14:paraId="0A9D560E" w14:textId="77777777" w:rsidR="00B36B91" w:rsidRPr="00B946F2" w:rsidRDefault="00000000">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ANIMALS 8 adult red-eared sliders (</w:t>
      </w:r>
      <w:r w:rsidRPr="00B946F2">
        <w:rPr>
          <w:rFonts w:ascii="Times New Roman" w:eastAsia="Times New Roman" w:hAnsi="Times New Roman" w:cs="Times New Roman"/>
          <w:i/>
          <w:sz w:val="20"/>
          <w:szCs w:val="20"/>
        </w:rPr>
        <w:t>Trachemys scripta elegans</w:t>
      </w:r>
      <w:r w:rsidRPr="00B946F2">
        <w:rPr>
          <w:rFonts w:ascii="Times New Roman" w:eastAsia="Times New Roman" w:hAnsi="Times New Roman" w:cs="Times New Roman"/>
          <w:sz w:val="20"/>
          <w:szCs w:val="20"/>
        </w:rPr>
        <w:t>).</w:t>
      </w:r>
    </w:p>
    <w:p w14:paraId="50FB0265" w14:textId="77777777" w:rsidR="00B36B91" w:rsidRPr="00B946F2" w:rsidRDefault="00000000">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METHODS In a sequential, 2-period study with a 3-week washout period between treatments, ceftazidime was administered SC to turtles at 20 and 40 mg/kg. Blood samples were collected from the </w:t>
      </w:r>
      <w:proofErr w:type="spellStart"/>
      <w:r w:rsidRPr="00B946F2">
        <w:rPr>
          <w:rFonts w:ascii="Times New Roman" w:eastAsia="Times New Roman" w:hAnsi="Times New Roman" w:cs="Times New Roman"/>
          <w:sz w:val="20"/>
          <w:szCs w:val="20"/>
        </w:rPr>
        <w:t>subcarapacial</w:t>
      </w:r>
      <w:proofErr w:type="spellEnd"/>
      <w:r w:rsidRPr="00B946F2">
        <w:rPr>
          <w:rFonts w:ascii="Times New Roman" w:eastAsia="Times New Roman" w:hAnsi="Times New Roman" w:cs="Times New Roman"/>
          <w:sz w:val="20"/>
          <w:szCs w:val="20"/>
        </w:rPr>
        <w:t xml:space="preserve"> sinus at 0, 24, 48, 72, 96, and 120 hours after ceftazidime administration. Plasma ceftazidime concentrations were quantified using </w:t>
      </w:r>
      <w:proofErr w:type="spellStart"/>
      <w:r w:rsidRPr="00B946F2">
        <w:rPr>
          <w:rFonts w:ascii="Times New Roman" w:eastAsia="Times New Roman" w:hAnsi="Times New Roman" w:cs="Times New Roman"/>
          <w:sz w:val="20"/>
          <w:szCs w:val="20"/>
        </w:rPr>
        <w:t>reversedphase</w:t>
      </w:r>
      <w:proofErr w:type="spellEnd"/>
      <w:r w:rsidRPr="00B946F2">
        <w:rPr>
          <w:rFonts w:ascii="Times New Roman" w:eastAsia="Times New Roman" w:hAnsi="Times New Roman" w:cs="Times New Roman"/>
          <w:sz w:val="20"/>
          <w:szCs w:val="20"/>
        </w:rPr>
        <w:t xml:space="preserve"> HPLC. </w:t>
      </w:r>
    </w:p>
    <w:p w14:paraId="4897B615" w14:textId="77777777" w:rsidR="00B36B91" w:rsidRPr="00B946F2" w:rsidRDefault="00000000">
      <w:pPr>
        <w:rPr>
          <w:rFonts w:ascii="Times New Roman" w:eastAsia="Times New Roman" w:hAnsi="Times New Roman" w:cs="Times New Roman"/>
          <w:sz w:val="20"/>
          <w:szCs w:val="20"/>
        </w:rPr>
      </w:pPr>
      <w:r w:rsidRPr="00B946F2">
        <w:rPr>
          <w:rFonts w:ascii="Times New Roman" w:eastAsia="Gungsuh" w:hAnsi="Times New Roman" w:cs="Times New Roman"/>
          <w:sz w:val="20"/>
          <w:szCs w:val="20"/>
        </w:rPr>
        <w:lastRenderedPageBreak/>
        <w:t xml:space="preserve">RESULTS Mean plasma half-life after 20- and 40-mg/kg dosing was 39.75 ± 8.0 hours and 33.03 ± 6.56 hours, respectively. Mean maximum plasma concentration after 20- and 40-mg/kg dosing was 71.0 ± 15.93 µg/mL and 120.0 ± 30.62 µg/mL, respectively. Mean plasma ceftazidime concentrations remained ≥ 8 µg/mL, the theoretical MIC for various reptile pathogens for all time points. </w:t>
      </w:r>
    </w:p>
    <w:p w14:paraId="7F3111DA" w14:textId="77777777" w:rsidR="00B36B91" w:rsidRPr="00B946F2" w:rsidRDefault="00000000">
      <w:pPr>
        <w:rPr>
          <w:rFonts w:ascii="Times New Roman" w:eastAsia="Times New Roman" w:hAnsi="Times New Roman" w:cs="Times New Roman"/>
          <w:sz w:val="20"/>
          <w:szCs w:val="20"/>
        </w:rPr>
      </w:pPr>
      <w:r w:rsidRPr="00B946F2">
        <w:rPr>
          <w:rFonts w:ascii="Times New Roman" w:eastAsia="Times New Roman" w:hAnsi="Times New Roman" w:cs="Times New Roman"/>
          <w:sz w:val="20"/>
          <w:szCs w:val="20"/>
        </w:rPr>
        <w:t xml:space="preserve">CLINICAL RELEVANCE </w:t>
      </w:r>
      <w:r w:rsidRPr="00B946F2">
        <w:rPr>
          <w:rFonts w:ascii="Times New Roman" w:eastAsia="Times New Roman" w:hAnsi="Times New Roman" w:cs="Times New Roman"/>
          <w:sz w:val="20"/>
          <w:szCs w:val="20"/>
          <w:highlight w:val="yellow"/>
        </w:rPr>
        <w:t>Results indicate that ceftazidime dosed at either 20 or 40 mg/kg produces plasma concentrations exceeding the theoretical MIC of various reptile pathogens for at least 120 hours</w:t>
      </w:r>
      <w:r w:rsidRPr="00B946F2">
        <w:rPr>
          <w:rFonts w:ascii="Times New Roman" w:eastAsia="Times New Roman" w:hAnsi="Times New Roman" w:cs="Times New Roman"/>
          <w:sz w:val="20"/>
          <w:szCs w:val="20"/>
        </w:rPr>
        <w:t>. An ideal dosing interval could not be determined, as all plasma concentrations remained above the threshold of interest for all time points. Follow-up studies should focus on establishing a dosing interval and more rigorous monitoring for potential adverse effects.</w:t>
      </w:r>
    </w:p>
    <w:p w14:paraId="1886CA50" w14:textId="77777777" w:rsidR="00B36B91" w:rsidRPr="00B946F2" w:rsidRDefault="00B36B91">
      <w:pPr>
        <w:rPr>
          <w:rFonts w:ascii="Times New Roman" w:eastAsia="Times New Roman" w:hAnsi="Times New Roman" w:cs="Times New Roman"/>
          <w:sz w:val="6"/>
          <w:szCs w:val="6"/>
        </w:rPr>
      </w:pPr>
    </w:p>
    <w:p w14:paraId="060C2B1E" w14:textId="77777777" w:rsidR="00B36B91" w:rsidRPr="00B946F2" w:rsidRDefault="00000000">
      <w:pPr>
        <w:rPr>
          <w:rFonts w:ascii="Times New Roman" w:eastAsia="Times New Roman" w:hAnsi="Times New Roman" w:cs="Times New Roman"/>
        </w:rPr>
      </w:pPr>
      <w:r w:rsidRPr="00B946F2">
        <w:rPr>
          <w:rFonts w:ascii="Times New Roman" w:eastAsia="Times New Roman" w:hAnsi="Times New Roman" w:cs="Times New Roman"/>
        </w:rPr>
        <w:t xml:space="preserve">Summary </w:t>
      </w:r>
    </w:p>
    <w:p w14:paraId="1BDEDF63"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Ceftazidime: third generation cephalosporin; high efficacy against gram neg</w:t>
      </w:r>
    </w:p>
    <w:p w14:paraId="502CA95D" w14:textId="77777777" w:rsidR="00B36B91" w:rsidRPr="00B946F2" w:rsidRDefault="00000000">
      <w:pPr>
        <w:numPr>
          <w:ilvl w:val="1"/>
          <w:numId w:val="1"/>
        </w:numPr>
        <w:rPr>
          <w:rFonts w:ascii="Times New Roman" w:eastAsia="Times New Roman" w:hAnsi="Times New Roman" w:cs="Times New Roman"/>
        </w:rPr>
      </w:pPr>
      <w:r w:rsidRPr="00B946F2">
        <w:rPr>
          <w:rFonts w:ascii="Times New Roman" w:eastAsia="Times New Roman" w:hAnsi="Times New Roman" w:cs="Times New Roman"/>
        </w:rPr>
        <w:t xml:space="preserve">Mammals excreted through kidneys; not described in turtles </w:t>
      </w:r>
    </w:p>
    <w:p w14:paraId="5C6A2ACD"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 xml:space="preserve">Previous studies: </w:t>
      </w:r>
      <w:proofErr w:type="spellStart"/>
      <w:r w:rsidRPr="00B946F2">
        <w:rPr>
          <w:rFonts w:ascii="Times New Roman" w:eastAsia="Times New Roman" w:hAnsi="Times New Roman" w:cs="Times New Roman"/>
        </w:rPr>
        <w:t>Ceftaz</w:t>
      </w:r>
      <w:proofErr w:type="spellEnd"/>
      <w:r w:rsidRPr="00B946F2">
        <w:rPr>
          <w:rFonts w:ascii="Times New Roman" w:eastAsia="Times New Roman" w:hAnsi="Times New Roman" w:cs="Times New Roman"/>
        </w:rPr>
        <w:t xml:space="preserve"> 20mg/kg IM or IV loggerhead ST plasma exceeded MIC for pseudomonas (defined as &gt; 8ug/mL) for 60 </w:t>
      </w:r>
      <w:proofErr w:type="spellStart"/>
      <w:r w:rsidRPr="00B946F2">
        <w:rPr>
          <w:rFonts w:ascii="Times New Roman" w:eastAsia="Times New Roman" w:hAnsi="Times New Roman" w:cs="Times New Roman"/>
        </w:rPr>
        <w:t>hrs</w:t>
      </w:r>
      <w:proofErr w:type="spellEnd"/>
      <w:r w:rsidRPr="00B946F2">
        <w:rPr>
          <w:rFonts w:ascii="Times New Roman" w:eastAsia="Times New Roman" w:hAnsi="Times New Roman" w:cs="Times New Roman"/>
        </w:rPr>
        <w:t xml:space="preserve">; </w:t>
      </w:r>
      <w:proofErr w:type="spellStart"/>
      <w:r w:rsidRPr="00B946F2">
        <w:rPr>
          <w:rFonts w:ascii="Times New Roman" w:eastAsia="Times New Roman" w:hAnsi="Times New Roman" w:cs="Times New Roman"/>
        </w:rPr>
        <w:t>Ceftaz</w:t>
      </w:r>
      <w:proofErr w:type="spellEnd"/>
      <w:r w:rsidRPr="00B946F2">
        <w:rPr>
          <w:rFonts w:ascii="Times New Roman" w:eastAsia="Times New Roman" w:hAnsi="Times New Roman" w:cs="Times New Roman"/>
        </w:rPr>
        <w:t xml:space="preserve"> 20mg/kg IM eastern box turtle + yellow bellied slider + river cooter plasma level &gt; 8ug/mL up to 120 </w:t>
      </w:r>
      <w:proofErr w:type="spellStart"/>
      <w:r w:rsidRPr="00B946F2">
        <w:rPr>
          <w:rFonts w:ascii="Times New Roman" w:eastAsia="Times New Roman" w:hAnsi="Times New Roman" w:cs="Times New Roman"/>
        </w:rPr>
        <w:t>hrs</w:t>
      </w:r>
      <w:proofErr w:type="spellEnd"/>
      <w:r w:rsidRPr="00B946F2">
        <w:rPr>
          <w:rFonts w:ascii="Times New Roman" w:eastAsia="Times New Roman" w:hAnsi="Times New Roman" w:cs="Times New Roman"/>
        </w:rPr>
        <w:t xml:space="preserve"> </w:t>
      </w:r>
    </w:p>
    <w:p w14:paraId="6FF8E864" w14:textId="77777777" w:rsidR="00B36B91" w:rsidRPr="00B946F2" w:rsidRDefault="00000000">
      <w:pPr>
        <w:numPr>
          <w:ilvl w:val="1"/>
          <w:numId w:val="1"/>
        </w:numPr>
        <w:rPr>
          <w:rFonts w:ascii="Times New Roman" w:eastAsia="Times New Roman" w:hAnsi="Times New Roman" w:cs="Times New Roman"/>
        </w:rPr>
      </w:pPr>
      <w:r w:rsidRPr="00B946F2">
        <w:rPr>
          <w:rFonts w:ascii="Times New Roman" w:eastAsia="Times New Roman" w:hAnsi="Times New Roman" w:cs="Times New Roman"/>
        </w:rPr>
        <w:t xml:space="preserve">This study uses MIC &gt; 8ug/mL as threshold for common reptile pathogens </w:t>
      </w:r>
    </w:p>
    <w:p w14:paraId="3AF83013" w14:textId="77777777" w:rsidR="00B36B91" w:rsidRPr="00B946F2" w:rsidRDefault="00000000">
      <w:pPr>
        <w:numPr>
          <w:ilvl w:val="1"/>
          <w:numId w:val="1"/>
        </w:numPr>
        <w:rPr>
          <w:rFonts w:ascii="Times New Roman" w:eastAsia="Times New Roman" w:hAnsi="Times New Roman" w:cs="Times New Roman"/>
        </w:rPr>
      </w:pPr>
      <w:proofErr w:type="spellStart"/>
      <w:r w:rsidRPr="00B946F2">
        <w:rPr>
          <w:rFonts w:ascii="Times New Roman" w:eastAsia="Times New Roman" w:hAnsi="Times New Roman" w:cs="Times New Roman"/>
        </w:rPr>
        <w:t>Ceftaz</w:t>
      </w:r>
      <w:proofErr w:type="spellEnd"/>
      <w:r w:rsidRPr="00B946F2">
        <w:rPr>
          <w:rFonts w:ascii="Times New Roman" w:eastAsia="Times New Roman" w:hAnsi="Times New Roman" w:cs="Times New Roman"/>
        </w:rPr>
        <w:t xml:space="preserve"> SC eastern hellbender clinically relevant plasma concentration 5 d; 24hrs in Northern leopard frogs </w:t>
      </w:r>
    </w:p>
    <w:p w14:paraId="5E592A62"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8 red eared sliders, received 50mg/kg fenbendazole prior to study; PE with baseline BW</w:t>
      </w:r>
    </w:p>
    <w:p w14:paraId="1DBBD782"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 xml:space="preserve">Turtles administered Ceftazidime 20mg/kg SC; </w:t>
      </w:r>
      <w:proofErr w:type="gramStart"/>
      <w:r w:rsidRPr="00B946F2">
        <w:rPr>
          <w:rFonts w:ascii="Times New Roman" w:eastAsia="Times New Roman" w:hAnsi="Times New Roman" w:cs="Times New Roman"/>
        </w:rPr>
        <w:t>3 week</w:t>
      </w:r>
      <w:proofErr w:type="gramEnd"/>
      <w:r w:rsidRPr="00B946F2">
        <w:rPr>
          <w:rFonts w:ascii="Times New Roman" w:eastAsia="Times New Roman" w:hAnsi="Times New Roman" w:cs="Times New Roman"/>
        </w:rPr>
        <w:t xml:space="preserve"> washout then 40mg/kg SC antebrachial</w:t>
      </w:r>
    </w:p>
    <w:p w14:paraId="4A474AE7"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highlight w:val="yellow"/>
        </w:rPr>
        <w:t>Plasma concentrations detectable above MIC for Pseudomonas (8 ug/mL) at all timepoints for both doses</w:t>
      </w:r>
      <w:r w:rsidRPr="00B946F2">
        <w:rPr>
          <w:rFonts w:ascii="Times New Roman" w:eastAsia="Cardo" w:hAnsi="Times New Roman" w:cs="Times New Roman"/>
        </w:rPr>
        <w:t xml:space="preserve"> → </w:t>
      </w:r>
      <w:proofErr w:type="gramStart"/>
      <w:r w:rsidRPr="00B946F2">
        <w:rPr>
          <w:rFonts w:ascii="Times New Roman" w:eastAsia="Cardo" w:hAnsi="Times New Roman" w:cs="Times New Roman"/>
        </w:rPr>
        <w:t>similar to</w:t>
      </w:r>
      <w:proofErr w:type="gramEnd"/>
      <w:r w:rsidRPr="00B946F2">
        <w:rPr>
          <w:rFonts w:ascii="Times New Roman" w:eastAsia="Cardo" w:hAnsi="Times New Roman" w:cs="Times New Roman"/>
        </w:rPr>
        <w:t xml:space="preserve"> study in wild North American freshwater turtles (20mg/kg) high concentration for 120 </w:t>
      </w:r>
      <w:proofErr w:type="spellStart"/>
      <w:r w:rsidRPr="00B946F2">
        <w:rPr>
          <w:rFonts w:ascii="Times New Roman" w:eastAsia="Cardo" w:hAnsi="Times New Roman" w:cs="Times New Roman"/>
        </w:rPr>
        <w:t>hr</w:t>
      </w:r>
      <w:proofErr w:type="spellEnd"/>
      <w:r w:rsidRPr="00B946F2">
        <w:rPr>
          <w:rFonts w:ascii="Times New Roman" w:eastAsia="Cardo" w:hAnsi="Times New Roman" w:cs="Times New Roman"/>
        </w:rPr>
        <w:t xml:space="preserve">; different from loggerhead ST (20mg/kg), only high 60 </w:t>
      </w:r>
      <w:proofErr w:type="spellStart"/>
      <w:r w:rsidRPr="00B946F2">
        <w:rPr>
          <w:rFonts w:ascii="Times New Roman" w:eastAsia="Cardo" w:hAnsi="Times New Roman" w:cs="Times New Roman"/>
        </w:rPr>
        <w:t>hr</w:t>
      </w:r>
      <w:proofErr w:type="spellEnd"/>
      <w:r w:rsidRPr="00B946F2">
        <w:rPr>
          <w:rFonts w:ascii="Times New Roman" w:eastAsia="Cardo" w:hAnsi="Times New Roman" w:cs="Times New Roman"/>
        </w:rPr>
        <w:t xml:space="preserve"> after IV/IM </w:t>
      </w:r>
    </w:p>
    <w:p w14:paraId="2C114DFF" w14:textId="77777777" w:rsidR="00B36B91" w:rsidRPr="00B946F2" w:rsidRDefault="00000000">
      <w:pPr>
        <w:numPr>
          <w:ilvl w:val="0"/>
          <w:numId w:val="1"/>
        </w:numPr>
        <w:rPr>
          <w:rFonts w:ascii="Times New Roman" w:eastAsia="Times New Roman" w:hAnsi="Times New Roman" w:cs="Times New Roman"/>
          <w:highlight w:val="yellow"/>
        </w:rPr>
      </w:pPr>
      <w:r w:rsidRPr="00B946F2">
        <w:rPr>
          <w:rFonts w:ascii="Times New Roman" w:eastAsia="Times New Roman" w:hAnsi="Times New Roman" w:cs="Times New Roman"/>
          <w:highlight w:val="yellow"/>
        </w:rPr>
        <w:t>Half-lives between 20mg/kg and 40mg/kg not different but 40mg/kg dose produced higher ceftazidime concentrations at every time point (but all above threshold 8 ug/mL)</w:t>
      </w:r>
    </w:p>
    <w:p w14:paraId="2EE9ED74"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Cardo" w:hAnsi="Times New Roman" w:cs="Times New Roman"/>
        </w:rPr>
        <w:t xml:space="preserve">No cutaneous reactions noted → did not evaluate biochemical or </w:t>
      </w:r>
      <w:proofErr w:type="spellStart"/>
      <w:r w:rsidRPr="00B946F2">
        <w:rPr>
          <w:rFonts w:ascii="Times New Roman" w:eastAsia="Cardo" w:hAnsi="Times New Roman" w:cs="Times New Roman"/>
        </w:rPr>
        <w:t>histo</w:t>
      </w:r>
      <w:proofErr w:type="spellEnd"/>
      <w:r w:rsidRPr="00B946F2">
        <w:rPr>
          <w:rFonts w:ascii="Times New Roman" w:eastAsia="Cardo" w:hAnsi="Times New Roman" w:cs="Times New Roman"/>
        </w:rPr>
        <w:t xml:space="preserve"> differences after admin </w:t>
      </w:r>
    </w:p>
    <w:p w14:paraId="5F474F5C"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Did not evaluate temperature differences (shown temp affects PK amikacin in gopher tortoise)</w:t>
      </w:r>
    </w:p>
    <w:p w14:paraId="4DBC5C8E"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 xml:space="preserve">Unknown if excreted in urine/feces; turtles housed together and could have been </w:t>
      </w:r>
      <w:proofErr w:type="spellStart"/>
      <w:r w:rsidRPr="00B946F2">
        <w:rPr>
          <w:rFonts w:ascii="Times New Roman" w:eastAsia="Times New Roman" w:hAnsi="Times New Roman" w:cs="Times New Roman"/>
        </w:rPr>
        <w:t>reexposed</w:t>
      </w:r>
      <w:proofErr w:type="spellEnd"/>
      <w:r w:rsidRPr="00B946F2">
        <w:rPr>
          <w:rFonts w:ascii="Times New Roman" w:eastAsia="Times New Roman" w:hAnsi="Times New Roman" w:cs="Times New Roman"/>
        </w:rPr>
        <w:t xml:space="preserve"> </w:t>
      </w:r>
    </w:p>
    <w:p w14:paraId="4E378F26" w14:textId="77777777" w:rsidR="00B36B91" w:rsidRPr="00B946F2" w:rsidRDefault="00000000">
      <w:pPr>
        <w:numPr>
          <w:ilvl w:val="0"/>
          <w:numId w:val="1"/>
        </w:numPr>
        <w:rPr>
          <w:rFonts w:ascii="Times New Roman" w:eastAsia="Times New Roman" w:hAnsi="Times New Roman" w:cs="Times New Roman"/>
        </w:rPr>
      </w:pPr>
      <w:r w:rsidRPr="00B946F2">
        <w:rPr>
          <w:rFonts w:ascii="Times New Roman" w:eastAsia="Times New Roman" w:hAnsi="Times New Roman" w:cs="Times New Roman"/>
        </w:rPr>
        <w:t>Can’t definitively say but from study generally recommend 20mg/kg ceftazidime in red-eared sliders with an expected duration of action of at least 5 days</w:t>
      </w:r>
    </w:p>
    <w:p w14:paraId="447B7D4C" w14:textId="77777777" w:rsidR="00B36B91" w:rsidRPr="00B946F2" w:rsidRDefault="00B36B91">
      <w:pPr>
        <w:rPr>
          <w:rFonts w:ascii="Times New Roman" w:eastAsia="Times New Roman" w:hAnsi="Times New Roman" w:cs="Times New Roman"/>
          <w:sz w:val="14"/>
          <w:szCs w:val="14"/>
        </w:rPr>
      </w:pPr>
    </w:p>
    <w:p w14:paraId="508293F1" w14:textId="77777777" w:rsidR="00B36B91" w:rsidRPr="00B946F2" w:rsidRDefault="00000000">
      <w:pPr>
        <w:rPr>
          <w:rFonts w:ascii="Times New Roman" w:eastAsia="Times New Roman" w:hAnsi="Times New Roman" w:cs="Times New Roman"/>
        </w:rPr>
      </w:pPr>
      <w:r w:rsidRPr="00B946F2">
        <w:rPr>
          <w:rFonts w:ascii="Times New Roman" w:eastAsia="Times New Roman" w:hAnsi="Times New Roman" w:cs="Times New Roman"/>
        </w:rPr>
        <w:t xml:space="preserve">Take home: Ceftazidime 20mg/kg or 40mg/kg produce plasma concentrations above reptile presumed MIC (used for Pseudomonas 8 ug/mL) at all time points but 40mg/kg consistently had higher concentrations; no adverse cutaneous effects. </w:t>
      </w:r>
    </w:p>
    <w:p w14:paraId="3C725B65" w14:textId="77777777" w:rsidR="00B36B91" w:rsidRPr="00B946F2" w:rsidRDefault="00000000">
      <w:pPr>
        <w:rPr>
          <w:rFonts w:ascii="Times New Roman" w:eastAsia="Times New Roman" w:hAnsi="Times New Roman" w:cs="Times New Roman"/>
          <w:i/>
          <w:sz w:val="16"/>
          <w:szCs w:val="16"/>
        </w:rPr>
      </w:pPr>
      <w:r w:rsidRPr="00B946F2">
        <w:rPr>
          <w:rFonts w:ascii="Times New Roman" w:eastAsia="Times New Roman" w:hAnsi="Times New Roman" w:cs="Times New Roman"/>
          <w:i/>
          <w:sz w:val="16"/>
          <w:szCs w:val="16"/>
        </w:rPr>
        <w:t>**very easy to compare this study against 2024 AJVR 85.9</w:t>
      </w:r>
      <w:r w:rsidRPr="00B946F2">
        <w:rPr>
          <w:rFonts w:ascii="Times New Roman" w:eastAsia="Times New Roman" w:hAnsi="Times New Roman" w:cs="Times New Roman"/>
          <w:i/>
          <w:sz w:val="12"/>
          <w:szCs w:val="12"/>
        </w:rPr>
        <w:t xml:space="preserve"> </w:t>
      </w:r>
      <w:r w:rsidRPr="00B946F2">
        <w:rPr>
          <w:rFonts w:ascii="Times New Roman" w:eastAsia="Times New Roman" w:hAnsi="Times New Roman" w:cs="Times New Roman"/>
          <w:i/>
          <w:sz w:val="16"/>
          <w:szCs w:val="16"/>
        </w:rPr>
        <w:t>Subcutaneous amikacin administration in red-eared sliders (Trachemys scripta elegans) produces prolonged detectable plasma concentrations without biochemistry evidence of impaired renal function</w:t>
      </w:r>
    </w:p>
    <w:p w14:paraId="07341D81" w14:textId="77777777" w:rsidR="00B36B91" w:rsidRPr="00B946F2" w:rsidRDefault="00000000">
      <w:pPr>
        <w:rPr>
          <w:rFonts w:ascii="Times New Roman" w:eastAsia="Times New Roman" w:hAnsi="Times New Roman" w:cs="Times New Roman"/>
          <w:i/>
          <w:sz w:val="16"/>
          <w:szCs w:val="16"/>
        </w:rPr>
      </w:pPr>
      <w:r w:rsidRPr="00B946F2">
        <w:rPr>
          <w:rFonts w:ascii="Times New Roman" w:hAnsi="Times New Roman" w:cs="Times New Roman"/>
          <w:noProof/>
        </w:rPr>
        <w:drawing>
          <wp:anchor distT="114300" distB="114300" distL="114300" distR="114300" simplePos="0" relativeHeight="251658240" behindDoc="0" locked="0" layoutInCell="1" hidden="0" allowOverlap="1" wp14:anchorId="77DE0375" wp14:editId="1B379751">
            <wp:simplePos x="0" y="0"/>
            <wp:positionH relativeFrom="column">
              <wp:posOffset>3089275</wp:posOffset>
            </wp:positionH>
            <wp:positionV relativeFrom="paragraph">
              <wp:posOffset>261942</wp:posOffset>
            </wp:positionV>
            <wp:extent cx="3549650" cy="1674528"/>
            <wp:effectExtent l="0" t="0" r="0" b="0"/>
            <wp:wrapSquare wrapText="bothSides" distT="114300" distB="114300" distL="114300" distR="114300"/>
            <wp:docPr id="1" name="Picture 1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3549650" cy="1674528"/>
                    </a:xfrm>
                    <a:prstGeom prst="rect">
                      <a:avLst/>
                    </a:prstGeom>
                    <a:ln/>
                  </pic:spPr>
                </pic:pic>
              </a:graphicData>
            </a:graphic>
          </wp:anchor>
        </w:drawing>
      </w:r>
    </w:p>
    <w:p w14:paraId="30B27844" w14:textId="77777777" w:rsidR="00DF5F8D" w:rsidRDefault="00DF5F8D" w:rsidP="00DF5F8D">
      <w:pPr>
        <w:spacing w:line="240" w:lineRule="auto"/>
        <w:jc w:val="right"/>
        <w:rPr>
          <w:rFonts w:ascii="Times New Roman" w:eastAsia="Times New Roman" w:hAnsi="Times New Roman" w:cs="Times New Roman"/>
          <w:i/>
          <w:iCs/>
          <w:color w:val="000000"/>
          <w:sz w:val="20"/>
          <w:szCs w:val="20"/>
        </w:rPr>
      </w:pPr>
      <w:r w:rsidRPr="00BA1D8A">
        <w:rPr>
          <w:rFonts w:ascii="Times New Roman" w:eastAsia="Times New Roman" w:hAnsi="Times New Roman" w:cs="Times New Roman"/>
          <w:i/>
          <w:iCs/>
          <w:color w:val="000000"/>
          <w:sz w:val="20"/>
          <w:szCs w:val="20"/>
        </w:rPr>
        <w:t>The Journal of Herpetological Medicine and Surgery, Volume 35, No. 1, 2025 pp. 40–44</w:t>
      </w:r>
    </w:p>
    <w:p w14:paraId="49BC8B9D" w14:textId="77777777" w:rsidR="00DF5F8D" w:rsidRPr="00565D64" w:rsidRDefault="00DF5F8D" w:rsidP="00DF5F8D">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6144E7BD" w14:textId="77777777" w:rsidR="00DF5F8D" w:rsidRPr="00565D64" w:rsidRDefault="00DF5F8D" w:rsidP="00DF5F8D">
      <w:pPr>
        <w:spacing w:after="240" w:line="240" w:lineRule="auto"/>
        <w:rPr>
          <w:rFonts w:ascii="Times New Roman" w:eastAsia="Times New Roman" w:hAnsi="Times New Roman" w:cs="Times New Roman"/>
          <w:color w:val="000000"/>
          <w:sz w:val="24"/>
          <w:szCs w:val="24"/>
        </w:rPr>
      </w:pPr>
    </w:p>
    <w:p w14:paraId="2B7B3878" w14:textId="77777777" w:rsidR="00DF5F8D" w:rsidRDefault="00DF5F8D" w:rsidP="00DF5F8D">
      <w:pPr>
        <w:spacing w:line="240" w:lineRule="auto"/>
        <w:rPr>
          <w:rFonts w:ascii="Times New Roman" w:eastAsia="Times New Roman" w:hAnsi="Times New Roman" w:cs="Times New Roman"/>
          <w:color w:val="000000"/>
          <w:sz w:val="24"/>
          <w:szCs w:val="24"/>
        </w:rPr>
      </w:pPr>
      <w:r w:rsidRPr="00BA1D8A">
        <w:rPr>
          <w:rFonts w:ascii="Times New Roman" w:eastAsia="Times New Roman" w:hAnsi="Times New Roman" w:cs="Times New Roman"/>
          <w:color w:val="000000"/>
          <w:sz w:val="24"/>
          <w:szCs w:val="24"/>
        </w:rPr>
        <w:t>Effectiveness of Nasal Flush Treatments in Mycoplasma PCR- or DNA Sequencing–Positive Tortoises</w:t>
      </w:r>
    </w:p>
    <w:p w14:paraId="31322245" w14:textId="77777777" w:rsidR="00DF5F8D" w:rsidRPr="00565D64" w:rsidRDefault="00DF5F8D" w:rsidP="00DF5F8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18"/>
          <w:szCs w:val="18"/>
        </w:rPr>
        <w:t>Marianne Caron, Ian Kanda, Mark Mitchell, Thomas Boyer</w:t>
      </w:r>
    </w:p>
    <w:p w14:paraId="6B598043" w14:textId="77777777" w:rsidR="00DF5F8D" w:rsidRPr="00565D64" w:rsidRDefault="00DF5F8D" w:rsidP="00DF5F8D">
      <w:pPr>
        <w:spacing w:line="240" w:lineRule="auto"/>
        <w:rPr>
          <w:rFonts w:ascii="Times New Roman" w:eastAsia="Times New Roman" w:hAnsi="Times New Roman" w:cs="Times New Roman"/>
          <w:color w:val="000000"/>
          <w:sz w:val="24"/>
          <w:szCs w:val="24"/>
        </w:rPr>
      </w:pPr>
    </w:p>
    <w:p w14:paraId="639A8A51" w14:textId="77777777" w:rsidR="00DF5F8D" w:rsidRDefault="00DF5F8D" w:rsidP="00DF5F8D">
      <w:pPr>
        <w:spacing w:line="240" w:lineRule="auto"/>
        <w:rPr>
          <w:rFonts w:ascii="Times New Roman" w:eastAsia="Times New Roman" w:hAnsi="Times New Roman" w:cs="Times New Roman"/>
          <w:color w:val="000000"/>
          <w:sz w:val="24"/>
          <w:szCs w:val="24"/>
        </w:rPr>
      </w:pPr>
      <w:r w:rsidRPr="00565D64">
        <w:rPr>
          <w:rFonts w:ascii="Times New Roman" w:eastAsia="Times New Roman" w:hAnsi="Times New Roman" w:cs="Times New Roman"/>
          <w:color w:val="000000"/>
          <w:sz w:val="20"/>
          <w:szCs w:val="20"/>
        </w:rPr>
        <w:lastRenderedPageBreak/>
        <w:t>Abstract:</w:t>
      </w:r>
      <w:r w:rsidRPr="00565D64">
        <w:rPr>
          <w:rFonts w:ascii="Times New Roman" w:eastAsia="Times New Roman" w:hAnsi="Times New Roman" w:cs="Times New Roman"/>
          <w:color w:val="000000"/>
          <w:sz w:val="16"/>
          <w:szCs w:val="16"/>
        </w:rPr>
        <w:t xml:space="preserve"> </w:t>
      </w:r>
      <w:r w:rsidRPr="00BA1D8A">
        <w:rPr>
          <w:rFonts w:ascii="Times New Roman" w:eastAsia="Times New Roman" w:hAnsi="Times New Roman" w:cs="Times New Roman"/>
          <w:color w:val="000000"/>
          <w:sz w:val="20"/>
          <w:szCs w:val="20"/>
        </w:rPr>
        <w:t xml:space="preserve">Mycoplasmas can cause severe </w:t>
      </w:r>
      <w:r w:rsidRPr="00BA1D8A">
        <w:rPr>
          <w:rFonts w:ascii="Times New Roman" w:eastAsia="Times New Roman" w:hAnsi="Times New Roman" w:cs="Times New Roman"/>
          <w:b/>
          <w:bCs/>
          <w:color w:val="000000"/>
          <w:sz w:val="20"/>
          <w:szCs w:val="20"/>
        </w:rPr>
        <w:t>chronic nasal sinusitis</w:t>
      </w:r>
      <w:r w:rsidRPr="00BA1D8A">
        <w:rPr>
          <w:rFonts w:ascii="Times New Roman" w:eastAsia="Times New Roman" w:hAnsi="Times New Roman" w:cs="Times New Roman"/>
          <w:color w:val="000000"/>
          <w:sz w:val="20"/>
          <w:szCs w:val="20"/>
        </w:rPr>
        <w:t xml:space="preserve"> in tortoises and box turtles, both in captive and wild populations. The aim of this study was to compare positive and negative </w:t>
      </w:r>
      <w:r w:rsidRPr="00BA1D8A">
        <w:rPr>
          <w:rFonts w:ascii="Times New Roman" w:eastAsia="Times New Roman" w:hAnsi="Times New Roman" w:cs="Times New Roman"/>
          <w:i/>
          <w:iCs/>
          <w:color w:val="000000"/>
          <w:sz w:val="20"/>
          <w:szCs w:val="20"/>
        </w:rPr>
        <w:t>Mycoplasma</w:t>
      </w:r>
      <w:r w:rsidRPr="00BA1D8A">
        <w:rPr>
          <w:rFonts w:ascii="Times New Roman" w:eastAsia="Times New Roman" w:hAnsi="Times New Roman" w:cs="Times New Roman"/>
          <w:color w:val="000000"/>
          <w:sz w:val="20"/>
          <w:szCs w:val="20"/>
        </w:rPr>
        <w:t xml:space="preserve"> sp. test results </w:t>
      </w:r>
      <w:r w:rsidRPr="00BA1D8A">
        <w:rPr>
          <w:rFonts w:ascii="Times New Roman" w:eastAsia="Times New Roman" w:hAnsi="Times New Roman" w:cs="Times New Roman"/>
          <w:b/>
          <w:bCs/>
          <w:color w:val="000000"/>
          <w:sz w:val="20"/>
          <w:szCs w:val="20"/>
        </w:rPr>
        <w:t>before and after a nasal flush protocol combined with systemic enrofloxacin</w:t>
      </w:r>
      <w:r w:rsidRPr="00BA1D8A">
        <w:rPr>
          <w:rFonts w:ascii="Times New Roman" w:eastAsia="Times New Roman" w:hAnsi="Times New Roman" w:cs="Times New Roman"/>
          <w:color w:val="000000"/>
          <w:sz w:val="20"/>
          <w:szCs w:val="20"/>
        </w:rPr>
        <w:t xml:space="preserve"> and to compare positive and negative results between DNA sequencing and PCR in tortoises with nasal discharge. Fifteen mycoplasma-positive tortoises were included in the study. All were treated with the nasal flush protocol. </w:t>
      </w:r>
      <w:r w:rsidRPr="00BA1D8A">
        <w:rPr>
          <w:rFonts w:ascii="Times New Roman" w:eastAsia="Times New Roman" w:hAnsi="Times New Roman" w:cs="Times New Roman"/>
          <w:b/>
          <w:bCs/>
          <w:color w:val="000000"/>
          <w:sz w:val="20"/>
          <w:szCs w:val="20"/>
        </w:rPr>
        <w:t>At the end of the nasal flush protocol, 26.7% of the treated tortoises remained mycoplasma positive. One month after the end of the nasal flush protocol, 20% remained positive.</w:t>
      </w:r>
      <w:r w:rsidRPr="00BA1D8A">
        <w:rPr>
          <w:rFonts w:ascii="Times New Roman" w:eastAsia="Times New Roman" w:hAnsi="Times New Roman" w:cs="Times New Roman"/>
          <w:color w:val="000000"/>
          <w:sz w:val="20"/>
          <w:szCs w:val="20"/>
        </w:rPr>
        <w:t xml:space="preserve"> The PCR and DNA sequencing tests had good agreement based on a weighted kappa of 0.64. Based on these results, we conclude that the outlined nasal flush protocol is overall successful at acutely resolving nasal discharge and leading to a PCR- or DNA sequencing–negative tortoise 1 month after treatment.</w:t>
      </w:r>
    </w:p>
    <w:p w14:paraId="3AB9288E" w14:textId="77777777" w:rsidR="00DF5F8D" w:rsidRPr="00565D64" w:rsidRDefault="00DF5F8D" w:rsidP="00DF5F8D">
      <w:pPr>
        <w:spacing w:line="240" w:lineRule="auto"/>
        <w:rPr>
          <w:rFonts w:ascii="Times New Roman" w:eastAsia="Times New Roman" w:hAnsi="Times New Roman" w:cs="Times New Roman"/>
          <w:color w:val="000000"/>
          <w:sz w:val="24"/>
          <w:szCs w:val="24"/>
        </w:rPr>
      </w:pPr>
    </w:p>
    <w:p w14:paraId="6C55B556" w14:textId="77777777" w:rsidR="00DF5F8D" w:rsidRPr="00565D64" w:rsidRDefault="00DF5F8D" w:rsidP="00DF5F8D">
      <w:pPr>
        <w:spacing w:line="240" w:lineRule="auto"/>
        <w:rPr>
          <w:rFonts w:ascii="Times New Roman" w:eastAsia="Times New Roman" w:hAnsi="Times New Roman" w:cs="Times New Roman"/>
          <w:color w:val="000000"/>
          <w:sz w:val="24"/>
          <w:szCs w:val="24"/>
        </w:rPr>
      </w:pPr>
      <w:r w:rsidRPr="00565D64">
        <w:rPr>
          <w:rFonts w:ascii="Times New Roman" w:eastAsia="Times New Roman" w:hAnsi="Times New Roman" w:cs="Times New Roman"/>
          <w:b/>
          <w:bCs/>
          <w:color w:val="000000"/>
          <w:sz w:val="20"/>
          <w:szCs w:val="20"/>
        </w:rPr>
        <w:t>Background:</w:t>
      </w:r>
    </w:p>
    <w:p w14:paraId="2F1A97B5" w14:textId="77777777" w:rsidR="00DF5F8D" w:rsidRDefault="00DF5F8D" w:rsidP="00DF5F8D">
      <w:pPr>
        <w:pStyle w:val="ListParagraph"/>
        <w:numPr>
          <w:ilvl w:val="0"/>
          <w:numId w:val="5"/>
        </w:numPr>
        <w:spacing w:after="0" w:line="240" w:lineRule="auto"/>
        <w:rPr>
          <w:rFonts w:ascii="Times New Roman" w:eastAsia="Times New Roman" w:hAnsi="Times New Roman" w:cs="Times New Roman"/>
          <w:color w:val="000000"/>
          <w:sz w:val="20"/>
          <w:szCs w:val="20"/>
        </w:rPr>
      </w:pPr>
      <w:r w:rsidRPr="00BA1D8A">
        <w:rPr>
          <w:rFonts w:ascii="Times New Roman" w:eastAsia="Times New Roman" w:hAnsi="Times New Roman" w:cs="Times New Roman"/>
          <w:i/>
          <w:iCs/>
          <w:color w:val="000000"/>
          <w:sz w:val="20"/>
          <w:szCs w:val="20"/>
        </w:rPr>
        <w:t>Mycoplasma (</w:t>
      </w:r>
      <w:proofErr w:type="spellStart"/>
      <w:r w:rsidRPr="00BA1D8A">
        <w:rPr>
          <w:rFonts w:ascii="Times New Roman" w:eastAsia="Times New Roman" w:hAnsi="Times New Roman" w:cs="Times New Roman"/>
          <w:i/>
          <w:iCs/>
          <w:color w:val="000000"/>
          <w:sz w:val="20"/>
          <w:szCs w:val="20"/>
        </w:rPr>
        <w:t>Mycoplasmopsis</w:t>
      </w:r>
      <w:proofErr w:type="spellEnd"/>
      <w:r w:rsidRPr="00BA1D8A">
        <w:rPr>
          <w:rFonts w:ascii="Times New Roman" w:eastAsia="Times New Roman" w:hAnsi="Times New Roman" w:cs="Times New Roman"/>
          <w:i/>
          <w:iCs/>
          <w:color w:val="000000"/>
          <w:sz w:val="20"/>
          <w:szCs w:val="20"/>
        </w:rPr>
        <w:t xml:space="preserve">) </w:t>
      </w:r>
      <w:proofErr w:type="spellStart"/>
      <w:r w:rsidRPr="00BA1D8A">
        <w:rPr>
          <w:rFonts w:ascii="Times New Roman" w:eastAsia="Times New Roman" w:hAnsi="Times New Roman" w:cs="Times New Roman"/>
          <w:i/>
          <w:iCs/>
          <w:color w:val="000000"/>
          <w:sz w:val="20"/>
          <w:szCs w:val="20"/>
        </w:rPr>
        <w:t>agassizii</w:t>
      </w:r>
      <w:proofErr w:type="spellEnd"/>
      <w:r w:rsidRPr="00BA1D8A">
        <w:rPr>
          <w:rFonts w:ascii="Times New Roman" w:eastAsia="Times New Roman" w:hAnsi="Times New Roman" w:cs="Times New Roman"/>
          <w:color w:val="000000"/>
          <w:sz w:val="20"/>
          <w:szCs w:val="20"/>
        </w:rPr>
        <w:t xml:space="preserve"> causes upper respiratory tract disease (URTD)</w:t>
      </w:r>
      <w:r>
        <w:rPr>
          <w:rFonts w:ascii="Times New Roman" w:eastAsia="Times New Roman" w:hAnsi="Times New Roman" w:cs="Times New Roman"/>
          <w:color w:val="000000"/>
          <w:sz w:val="20"/>
          <w:szCs w:val="20"/>
        </w:rPr>
        <w:t>: serous, mucoid, or purulent nasal discharge</w:t>
      </w:r>
    </w:p>
    <w:p w14:paraId="2A3AD126" w14:textId="77777777" w:rsidR="00DF5F8D" w:rsidRDefault="00DF5F8D" w:rsidP="00DF5F8D">
      <w:pPr>
        <w:pStyle w:val="ListParagraph"/>
        <w:numPr>
          <w:ilvl w:val="1"/>
          <w:numId w:val="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High infectious rate, wide distribution worldwide, low host specificity</w:t>
      </w:r>
    </w:p>
    <w:p w14:paraId="2D7662D7" w14:textId="77777777" w:rsidR="00DF5F8D" w:rsidRDefault="00DF5F8D" w:rsidP="00DF5F8D">
      <w:pPr>
        <w:pStyle w:val="ListParagraph"/>
        <w:numPr>
          <w:ilvl w:val="1"/>
          <w:numId w:val="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Attaches to nasal sinus and choanal epithelium causing an overexuberant, chronic immune response that fails to clear infection</w:t>
      </w:r>
    </w:p>
    <w:p w14:paraId="31BAA940" w14:textId="77777777" w:rsidR="00DF5F8D" w:rsidRDefault="00DF5F8D" w:rsidP="00DF5F8D">
      <w:pPr>
        <w:pStyle w:val="ListParagraph"/>
        <w:numPr>
          <w:ilvl w:val="1"/>
          <w:numId w:val="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Ocular discharge, conjunctivitis, and palpebral edema</w:t>
      </w:r>
    </w:p>
    <w:p w14:paraId="60FBB93D" w14:textId="77777777" w:rsidR="00DF5F8D" w:rsidRDefault="00DF5F8D" w:rsidP="00DF5F8D">
      <w:pPr>
        <w:pStyle w:val="ListParagraph"/>
        <w:numPr>
          <w:ilvl w:val="0"/>
          <w:numId w:val="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Reported that this decreases olfaction, which may suppress appetite since that sense is used to select food, as well as predator detection and reproduction</w:t>
      </w:r>
    </w:p>
    <w:p w14:paraId="33FE53D2" w14:textId="77777777" w:rsidR="00DF5F8D" w:rsidRPr="00BA1D8A" w:rsidRDefault="00DF5F8D" w:rsidP="00DF5F8D">
      <w:pPr>
        <w:pStyle w:val="ListParagraph"/>
        <w:numPr>
          <w:ilvl w:val="0"/>
          <w:numId w:val="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Poor success to date in clearance of infection</w:t>
      </w:r>
    </w:p>
    <w:p w14:paraId="3EE26007" w14:textId="77777777" w:rsidR="00DF5F8D" w:rsidRPr="00565D64" w:rsidRDefault="00DF5F8D" w:rsidP="00DF5F8D">
      <w:pPr>
        <w:spacing w:line="240" w:lineRule="auto"/>
        <w:rPr>
          <w:rFonts w:ascii="Times New Roman" w:eastAsia="Times New Roman" w:hAnsi="Times New Roman" w:cs="Times New Roman"/>
          <w:color w:val="000000"/>
          <w:sz w:val="24"/>
          <w:szCs w:val="24"/>
        </w:rPr>
      </w:pPr>
    </w:p>
    <w:p w14:paraId="0D8AC3FD" w14:textId="77777777" w:rsidR="00DF5F8D" w:rsidRPr="00565D64" w:rsidRDefault="00DF5F8D" w:rsidP="00DF5F8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0"/>
          <w:szCs w:val="20"/>
        </w:rPr>
        <w:t>Summary:</w:t>
      </w:r>
    </w:p>
    <w:p w14:paraId="1F8D736A" w14:textId="77777777" w:rsidR="00DF5F8D" w:rsidRDefault="00DF5F8D" w:rsidP="00DF5F8D">
      <w:pPr>
        <w:numPr>
          <w:ilvl w:val="0"/>
          <w:numId w:val="3"/>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 = 15 Testudinidae </w:t>
      </w:r>
      <w:r w:rsidRPr="00BA1D8A">
        <w:rPr>
          <w:rFonts w:ascii="Times New Roman" w:eastAsia="Times New Roman" w:hAnsi="Times New Roman" w:cs="Times New Roman"/>
          <w:color w:val="000000"/>
          <w:sz w:val="20"/>
          <w:szCs w:val="20"/>
        </w:rPr>
        <w:t xml:space="preserve">with </w:t>
      </w:r>
      <w:r w:rsidRPr="00BA1D8A">
        <w:rPr>
          <w:rFonts w:ascii="Times New Roman" w:eastAsia="Times New Roman" w:hAnsi="Times New Roman" w:cs="Times New Roman"/>
          <w:i/>
          <w:iCs/>
          <w:color w:val="000000"/>
          <w:sz w:val="20"/>
          <w:szCs w:val="20"/>
        </w:rPr>
        <w:t>Mycoplasma</w:t>
      </w:r>
      <w:r w:rsidRPr="00BA1D8A">
        <w:rPr>
          <w:rFonts w:ascii="Times New Roman" w:eastAsia="Times New Roman" w:hAnsi="Times New Roman" w:cs="Times New Roman"/>
          <w:color w:val="000000"/>
          <w:sz w:val="20"/>
          <w:szCs w:val="20"/>
        </w:rPr>
        <w:t xml:space="preserve"> spp. detected on either PCR or DNA sequencing </w:t>
      </w:r>
      <w:r>
        <w:rPr>
          <w:rFonts w:ascii="Times New Roman" w:eastAsia="Times New Roman" w:hAnsi="Times New Roman" w:cs="Times New Roman"/>
          <w:color w:val="000000"/>
          <w:sz w:val="20"/>
          <w:szCs w:val="20"/>
        </w:rPr>
        <w:t>(</w:t>
      </w:r>
      <w:proofErr w:type="spellStart"/>
      <w:r>
        <w:rPr>
          <w:rFonts w:ascii="Times New Roman" w:eastAsia="Times New Roman" w:hAnsi="Times New Roman" w:cs="Times New Roman"/>
          <w:color w:val="000000"/>
          <w:sz w:val="20"/>
          <w:szCs w:val="20"/>
        </w:rPr>
        <w:t>MiDOG</w:t>
      </w:r>
      <w:proofErr w:type="spellEnd"/>
      <w:r>
        <w:rPr>
          <w:rFonts w:ascii="Times New Roman" w:eastAsia="Times New Roman" w:hAnsi="Times New Roman" w:cs="Times New Roman"/>
          <w:color w:val="000000"/>
          <w:sz w:val="20"/>
          <w:szCs w:val="20"/>
        </w:rPr>
        <w:t xml:space="preserve">) </w:t>
      </w:r>
      <w:r w:rsidRPr="00BA1D8A">
        <w:rPr>
          <w:rFonts w:ascii="Times New Roman" w:eastAsia="Times New Roman" w:hAnsi="Times New Roman" w:cs="Times New Roman"/>
          <w:color w:val="000000"/>
          <w:sz w:val="20"/>
          <w:szCs w:val="20"/>
        </w:rPr>
        <w:t>were included</w:t>
      </w:r>
    </w:p>
    <w:p w14:paraId="10916D52" w14:textId="77777777" w:rsidR="00DF5F8D" w:rsidRDefault="00DF5F8D" w:rsidP="00DF5F8D">
      <w:pPr>
        <w:numPr>
          <w:ilvl w:val="1"/>
          <w:numId w:val="3"/>
        </w:numPr>
        <w:spacing w:line="240" w:lineRule="auto"/>
        <w:textAlignment w:val="baseline"/>
        <w:rPr>
          <w:rFonts w:ascii="Times New Roman" w:eastAsia="Times New Roman" w:hAnsi="Times New Roman" w:cs="Times New Roman"/>
          <w:color w:val="000000"/>
          <w:sz w:val="20"/>
          <w:szCs w:val="20"/>
        </w:rPr>
      </w:pPr>
      <w:r w:rsidRPr="009D6FC6">
        <w:rPr>
          <w:rFonts w:ascii="Times New Roman" w:eastAsia="Times New Roman" w:hAnsi="Times New Roman" w:cs="Times New Roman"/>
          <w:color w:val="000000"/>
          <w:sz w:val="20"/>
          <w:szCs w:val="20"/>
        </w:rPr>
        <w:t>8 were desert tortoises</w:t>
      </w:r>
      <w:r>
        <w:rPr>
          <w:rFonts w:ascii="Times New Roman" w:eastAsia="Times New Roman" w:hAnsi="Times New Roman" w:cs="Times New Roman"/>
          <w:color w:val="000000"/>
          <w:sz w:val="20"/>
          <w:szCs w:val="20"/>
        </w:rPr>
        <w:t xml:space="preserve"> (</w:t>
      </w:r>
      <w:r w:rsidRPr="009D6FC6">
        <w:rPr>
          <w:rFonts w:ascii="Times New Roman" w:eastAsia="Times New Roman" w:hAnsi="Times New Roman" w:cs="Times New Roman"/>
          <w:i/>
          <w:iCs/>
          <w:color w:val="000000"/>
          <w:sz w:val="20"/>
          <w:szCs w:val="20"/>
        </w:rPr>
        <w:t xml:space="preserve">Gopherus </w:t>
      </w:r>
      <w:proofErr w:type="spellStart"/>
      <w:r w:rsidRPr="009D6FC6">
        <w:rPr>
          <w:rFonts w:ascii="Times New Roman" w:eastAsia="Times New Roman" w:hAnsi="Times New Roman" w:cs="Times New Roman"/>
          <w:i/>
          <w:iCs/>
          <w:color w:val="000000"/>
          <w:sz w:val="20"/>
          <w:szCs w:val="20"/>
        </w:rPr>
        <w:t>agassizii</w:t>
      </w:r>
      <w:proofErr w:type="spellEnd"/>
      <w:r>
        <w:rPr>
          <w:rFonts w:ascii="Times New Roman" w:eastAsia="Times New Roman" w:hAnsi="Times New Roman" w:cs="Times New Roman"/>
          <w:color w:val="000000"/>
          <w:sz w:val="20"/>
          <w:szCs w:val="20"/>
        </w:rPr>
        <w:t>)</w:t>
      </w:r>
      <w:r w:rsidRPr="009D6FC6">
        <w:rPr>
          <w:rFonts w:ascii="Times New Roman" w:eastAsia="Times New Roman" w:hAnsi="Times New Roman" w:cs="Times New Roman"/>
          <w:color w:val="000000"/>
          <w:sz w:val="20"/>
          <w:szCs w:val="20"/>
        </w:rPr>
        <w:t>, five were leopard tortoises (</w:t>
      </w:r>
      <w:proofErr w:type="spellStart"/>
      <w:r w:rsidRPr="009D6FC6">
        <w:rPr>
          <w:rFonts w:ascii="Times New Roman" w:eastAsia="Times New Roman" w:hAnsi="Times New Roman" w:cs="Times New Roman"/>
          <w:i/>
          <w:iCs/>
          <w:color w:val="000000"/>
          <w:sz w:val="20"/>
          <w:szCs w:val="20"/>
        </w:rPr>
        <w:t>Stigmochelys</w:t>
      </w:r>
      <w:proofErr w:type="spellEnd"/>
      <w:r w:rsidRPr="009D6FC6">
        <w:rPr>
          <w:rFonts w:ascii="Times New Roman" w:eastAsia="Times New Roman" w:hAnsi="Times New Roman" w:cs="Times New Roman"/>
          <w:i/>
          <w:iCs/>
          <w:color w:val="000000"/>
          <w:sz w:val="20"/>
          <w:szCs w:val="20"/>
        </w:rPr>
        <w:t xml:space="preserve"> pardalis</w:t>
      </w:r>
      <w:r w:rsidRPr="009D6FC6">
        <w:rPr>
          <w:rFonts w:ascii="Times New Roman" w:eastAsia="Times New Roman" w:hAnsi="Times New Roman" w:cs="Times New Roman"/>
          <w:color w:val="000000"/>
          <w:sz w:val="20"/>
          <w:szCs w:val="20"/>
        </w:rPr>
        <w:t>), and two were African spurred tortoises (</w:t>
      </w:r>
      <w:proofErr w:type="spellStart"/>
      <w:r w:rsidRPr="009D6FC6">
        <w:rPr>
          <w:rFonts w:ascii="Times New Roman" w:eastAsia="Times New Roman" w:hAnsi="Times New Roman" w:cs="Times New Roman"/>
          <w:i/>
          <w:iCs/>
          <w:color w:val="000000"/>
          <w:sz w:val="20"/>
          <w:szCs w:val="20"/>
        </w:rPr>
        <w:t>Centrochelys</w:t>
      </w:r>
      <w:proofErr w:type="spellEnd"/>
      <w:r w:rsidRPr="009D6FC6">
        <w:rPr>
          <w:rFonts w:ascii="Times New Roman" w:eastAsia="Times New Roman" w:hAnsi="Times New Roman" w:cs="Times New Roman"/>
          <w:i/>
          <w:iCs/>
          <w:color w:val="000000"/>
          <w:sz w:val="20"/>
          <w:szCs w:val="20"/>
        </w:rPr>
        <w:t xml:space="preserve"> </w:t>
      </w:r>
      <w:proofErr w:type="spellStart"/>
      <w:r w:rsidRPr="009D6FC6">
        <w:rPr>
          <w:rFonts w:ascii="Times New Roman" w:eastAsia="Times New Roman" w:hAnsi="Times New Roman" w:cs="Times New Roman"/>
          <w:i/>
          <w:iCs/>
          <w:color w:val="000000"/>
          <w:sz w:val="20"/>
          <w:szCs w:val="20"/>
        </w:rPr>
        <w:t>sulcata</w:t>
      </w:r>
      <w:proofErr w:type="spellEnd"/>
      <w:r w:rsidRPr="009D6FC6">
        <w:rPr>
          <w:rFonts w:ascii="Times New Roman" w:eastAsia="Times New Roman" w:hAnsi="Times New Roman" w:cs="Times New Roman"/>
          <w:color w:val="000000"/>
          <w:sz w:val="20"/>
          <w:szCs w:val="20"/>
        </w:rPr>
        <w:t>).</w:t>
      </w:r>
    </w:p>
    <w:p w14:paraId="361BA507" w14:textId="77777777" w:rsidR="00DF5F8D" w:rsidRPr="00BA1D8A" w:rsidRDefault="00DF5F8D" w:rsidP="00DF5F8D">
      <w:pPr>
        <w:numPr>
          <w:ilvl w:val="0"/>
          <w:numId w:val="3"/>
        </w:numPr>
        <w:spacing w:line="240" w:lineRule="auto"/>
        <w:textAlignment w:val="baseline"/>
        <w:rPr>
          <w:rFonts w:ascii="Times New Roman" w:eastAsia="Times New Roman" w:hAnsi="Times New Roman" w:cs="Times New Roman"/>
          <w:color w:val="000000"/>
          <w:sz w:val="24"/>
          <w:szCs w:val="24"/>
        </w:rPr>
      </w:pPr>
      <w:r w:rsidRPr="00BA1D8A">
        <w:rPr>
          <w:rFonts w:ascii="Times New Roman" w:eastAsia="Times New Roman" w:hAnsi="Times New Roman" w:cs="Times New Roman"/>
          <w:color w:val="000000"/>
          <w:sz w:val="20"/>
          <w:szCs w:val="20"/>
        </w:rPr>
        <w:t xml:space="preserve">Treatment consisted of five nasal flushes under sedation, administered every 48–72 h, with additional flushes per- formed if nasal discharge was persistent at the fifth flush. </w:t>
      </w:r>
    </w:p>
    <w:p w14:paraId="5D96C6E5" w14:textId="77777777" w:rsidR="00DF5F8D" w:rsidRPr="009D6FC6" w:rsidRDefault="00DF5F8D" w:rsidP="00DF5F8D">
      <w:pPr>
        <w:numPr>
          <w:ilvl w:val="0"/>
          <w:numId w:val="3"/>
        </w:numPr>
        <w:spacing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 xml:space="preserve">After sedation with </w:t>
      </w:r>
      <w:proofErr w:type="spellStart"/>
      <w:r>
        <w:rPr>
          <w:rFonts w:ascii="Times New Roman" w:eastAsia="Times New Roman" w:hAnsi="Times New Roman" w:cs="Times New Roman"/>
          <w:color w:val="000000"/>
          <w:sz w:val="20"/>
          <w:szCs w:val="20"/>
        </w:rPr>
        <w:t>telazol</w:t>
      </w:r>
      <w:proofErr w:type="spellEnd"/>
      <w:r>
        <w:rPr>
          <w:rFonts w:ascii="Times New Roman" w:eastAsia="Times New Roman" w:hAnsi="Times New Roman" w:cs="Times New Roman"/>
          <w:color w:val="000000"/>
          <w:sz w:val="20"/>
          <w:szCs w:val="20"/>
        </w:rPr>
        <w:t xml:space="preserve"> (20-30mg/kg), a cotton ball was used to occlude the glottis from aspiration, held down in dorsal recumbency, each naris flushed with </w:t>
      </w:r>
      <w:r w:rsidRPr="009D6FC6">
        <w:rPr>
          <w:rFonts w:ascii="Times New Roman" w:eastAsia="Times New Roman" w:hAnsi="Times New Roman" w:cs="Times New Roman"/>
          <w:color w:val="000000"/>
          <w:sz w:val="20"/>
          <w:szCs w:val="20"/>
        </w:rPr>
        <w:t>15mL 0.9% NaCl (samples taken from this flush</w:t>
      </w:r>
      <w:r>
        <w:rPr>
          <w:rFonts w:ascii="Times New Roman" w:eastAsia="Times New Roman" w:hAnsi="Times New Roman" w:cs="Times New Roman"/>
          <w:color w:val="000000"/>
          <w:sz w:val="20"/>
          <w:szCs w:val="20"/>
        </w:rPr>
        <w:t xml:space="preserve"> and one choanal swab</w:t>
      </w:r>
      <w:r w:rsidRPr="009D6FC6">
        <w:rPr>
          <w:rFonts w:ascii="Times New Roman" w:eastAsia="Times New Roman" w:hAnsi="Times New Roman" w:cs="Times New Roman"/>
          <w:color w:val="000000"/>
          <w:sz w:val="20"/>
          <w:szCs w:val="20"/>
        </w:rPr>
        <w:t>)</w:t>
      </w:r>
    </w:p>
    <w:p w14:paraId="7C5938B9" w14:textId="77777777" w:rsidR="00DF5F8D" w:rsidRPr="009D6FC6" w:rsidRDefault="00DF5F8D" w:rsidP="00DF5F8D">
      <w:pPr>
        <w:numPr>
          <w:ilvl w:val="0"/>
          <w:numId w:val="3"/>
        </w:numPr>
        <w:spacing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Protocol: total 3mL: 0.4mL enrofloxacin, 0.2mL dexamethasone, and 2.4mL of 0.9% NaCl – 0.5mL of solution instilled into each nostril and 1mL into each choanal slit and allowed to drip down and out the nares to floor the nasal sinuses</w:t>
      </w:r>
    </w:p>
    <w:p w14:paraId="05E202E1" w14:textId="77777777" w:rsidR="00DF5F8D" w:rsidRPr="009D6FC6" w:rsidRDefault="00DF5F8D" w:rsidP="00DF5F8D">
      <w:pPr>
        <w:numPr>
          <w:ilvl w:val="1"/>
          <w:numId w:val="3"/>
        </w:numPr>
        <w:spacing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+ 10mg/kg enrofloxacin IM after each flush</w:t>
      </w:r>
    </w:p>
    <w:p w14:paraId="4A9513FB" w14:textId="77777777" w:rsidR="00DF5F8D" w:rsidRPr="009D6FC6" w:rsidRDefault="00DF5F8D" w:rsidP="00DF5F8D">
      <w:pPr>
        <w:numPr>
          <w:ilvl w:val="0"/>
          <w:numId w:val="3"/>
        </w:numPr>
        <w:spacing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 xml:space="preserve">PCR and DNA sequencing samples collected at first nasal flush, last nasal flush, 1 </w:t>
      </w:r>
      <w:proofErr w:type="spellStart"/>
      <w:r>
        <w:rPr>
          <w:rFonts w:ascii="Times New Roman" w:eastAsia="Times New Roman" w:hAnsi="Times New Roman" w:cs="Times New Roman"/>
          <w:color w:val="000000"/>
          <w:sz w:val="20"/>
          <w:szCs w:val="20"/>
        </w:rPr>
        <w:t>mo</w:t>
      </w:r>
      <w:proofErr w:type="spellEnd"/>
      <w:r>
        <w:rPr>
          <w:rFonts w:ascii="Times New Roman" w:eastAsia="Times New Roman" w:hAnsi="Times New Roman" w:cs="Times New Roman"/>
          <w:color w:val="000000"/>
          <w:sz w:val="20"/>
          <w:szCs w:val="20"/>
        </w:rPr>
        <w:t xml:space="preserve"> after last nasal flush</w:t>
      </w:r>
    </w:p>
    <w:p w14:paraId="542C5E65" w14:textId="77777777" w:rsidR="00DF5F8D" w:rsidRPr="009D6FC6" w:rsidRDefault="00DF5F8D" w:rsidP="00DF5F8D">
      <w:pPr>
        <w:numPr>
          <w:ilvl w:val="0"/>
          <w:numId w:val="3"/>
        </w:numPr>
        <w:spacing w:line="240" w:lineRule="auto"/>
        <w:textAlignment w:val="baseline"/>
        <w:rPr>
          <w:rFonts w:ascii="Times New Roman" w:eastAsia="Times New Roman" w:hAnsi="Times New Roman" w:cs="Times New Roman"/>
          <w:color w:val="000000"/>
          <w:sz w:val="20"/>
          <w:szCs w:val="20"/>
        </w:rPr>
      </w:pPr>
      <w:r w:rsidRPr="009D6FC6">
        <w:rPr>
          <w:rFonts w:ascii="Times New Roman" w:eastAsia="Times New Roman" w:hAnsi="Times New Roman" w:cs="Times New Roman"/>
          <w:color w:val="000000"/>
          <w:sz w:val="20"/>
          <w:szCs w:val="20"/>
        </w:rPr>
        <w:t>Overall, 12 of 15 tortoises that were mycoplasma positive at the beginning of the study tested negative 1 month after the last nasal flush</w:t>
      </w:r>
    </w:p>
    <w:p w14:paraId="452E3D34" w14:textId="77777777" w:rsidR="00DF5F8D" w:rsidRDefault="00DF5F8D" w:rsidP="00DF5F8D">
      <w:pPr>
        <w:numPr>
          <w:ilvl w:val="1"/>
          <w:numId w:val="3"/>
        </w:numPr>
        <w:spacing w:line="240" w:lineRule="auto"/>
        <w:textAlignment w:val="baseline"/>
        <w:rPr>
          <w:rFonts w:ascii="Times New Roman" w:eastAsia="Times New Roman" w:hAnsi="Times New Roman" w:cs="Times New Roman"/>
          <w:color w:val="000000"/>
          <w:sz w:val="20"/>
          <w:szCs w:val="20"/>
        </w:rPr>
      </w:pPr>
      <w:r w:rsidRPr="009D6FC6">
        <w:rPr>
          <w:rFonts w:ascii="Times New Roman" w:eastAsia="Times New Roman" w:hAnsi="Times New Roman" w:cs="Times New Roman"/>
          <w:color w:val="000000"/>
          <w:sz w:val="20"/>
          <w:szCs w:val="20"/>
        </w:rPr>
        <w:t>None of the tortoises had residual nasal discharge</w:t>
      </w:r>
    </w:p>
    <w:p w14:paraId="19EEDF0A" w14:textId="77777777" w:rsidR="00DF5F8D" w:rsidRDefault="00DF5F8D" w:rsidP="00DF5F8D">
      <w:pPr>
        <w:numPr>
          <w:ilvl w:val="1"/>
          <w:numId w:val="3"/>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3/15</w:t>
      </w:r>
      <w:r w:rsidRPr="009D6FC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were positive 4-10 months after </w:t>
      </w:r>
      <w:proofErr w:type="spellStart"/>
      <w:r>
        <w:rPr>
          <w:rFonts w:ascii="Times New Roman" w:eastAsia="Times New Roman" w:hAnsi="Times New Roman" w:cs="Times New Roman"/>
          <w:color w:val="000000"/>
          <w:sz w:val="20"/>
          <w:szCs w:val="20"/>
        </w:rPr>
        <w:t>tx</w:t>
      </w:r>
      <w:proofErr w:type="spellEnd"/>
      <w:r>
        <w:rPr>
          <w:rFonts w:ascii="Times New Roman" w:eastAsia="Times New Roman" w:hAnsi="Times New Roman" w:cs="Times New Roman"/>
          <w:color w:val="000000"/>
          <w:sz w:val="20"/>
          <w:szCs w:val="20"/>
        </w:rPr>
        <w:t xml:space="preserve"> (only 6/15 rechecked)</w:t>
      </w:r>
    </w:p>
    <w:p w14:paraId="7BEF52BA" w14:textId="77777777" w:rsidR="00DF5F8D" w:rsidRDefault="00DF5F8D" w:rsidP="00DF5F8D">
      <w:pPr>
        <w:numPr>
          <w:ilvl w:val="1"/>
          <w:numId w:val="3"/>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2/15 had recurrence of nasal discharge by one month later</w:t>
      </w:r>
    </w:p>
    <w:p w14:paraId="2745B071" w14:textId="77777777" w:rsidR="00DF5F8D" w:rsidRDefault="00DF5F8D" w:rsidP="00DF5F8D">
      <w:pPr>
        <w:numPr>
          <w:ilvl w:val="0"/>
          <w:numId w:val="3"/>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Based on statistical analysis, the PCR and DNA sequencing were concluded to have good agreement</w:t>
      </w:r>
    </w:p>
    <w:p w14:paraId="378EB718" w14:textId="77777777" w:rsidR="00DF5F8D" w:rsidRDefault="00DF5F8D" w:rsidP="00DF5F8D">
      <w:pPr>
        <w:numPr>
          <w:ilvl w:val="1"/>
          <w:numId w:val="3"/>
        </w:numPr>
        <w:spacing w:line="240" w:lineRule="auto"/>
        <w:textAlignment w:val="baseline"/>
        <w:rPr>
          <w:rFonts w:ascii="Times New Roman" w:eastAsia="Times New Roman" w:hAnsi="Times New Roman" w:cs="Times New Roman"/>
          <w:color w:val="000000"/>
          <w:sz w:val="20"/>
          <w:szCs w:val="20"/>
        </w:rPr>
      </w:pPr>
      <w:r w:rsidRPr="00804AE0">
        <w:rPr>
          <w:rFonts w:ascii="Times New Roman" w:eastAsia="Times New Roman" w:hAnsi="Times New Roman" w:cs="Times New Roman"/>
          <w:color w:val="000000"/>
          <w:sz w:val="20"/>
          <w:szCs w:val="20"/>
        </w:rPr>
        <w:t>PCR seemed to have fewer negative results that disagreed with DNA sequencing rather than the other way around and therefore has been adopted by the authors as the preferred testing modality for future cases.</w:t>
      </w:r>
    </w:p>
    <w:p w14:paraId="7912D79A" w14:textId="77777777" w:rsidR="00DF5F8D" w:rsidRPr="009D6FC6" w:rsidRDefault="00DF5F8D" w:rsidP="00DF5F8D">
      <w:pPr>
        <w:spacing w:line="240" w:lineRule="auto"/>
        <w:ind w:left="1440"/>
        <w:textAlignment w:val="baseline"/>
        <w:rPr>
          <w:rFonts w:ascii="Times New Roman" w:eastAsia="Times New Roman" w:hAnsi="Times New Roman" w:cs="Times New Roman"/>
          <w:color w:val="000000"/>
          <w:sz w:val="20"/>
          <w:szCs w:val="20"/>
        </w:rPr>
      </w:pPr>
    </w:p>
    <w:p w14:paraId="62E61E83" w14:textId="77777777" w:rsidR="00DF5F8D" w:rsidRPr="00565D64" w:rsidRDefault="00DF5F8D" w:rsidP="00DF5F8D">
      <w:pPr>
        <w:spacing w:line="240" w:lineRule="auto"/>
        <w:textAlignment w:val="baseline"/>
        <w:rPr>
          <w:rFonts w:ascii="Times New Roman" w:eastAsia="Times New Roman" w:hAnsi="Times New Roman" w:cs="Times New Roman"/>
          <w:color w:val="000000"/>
          <w:sz w:val="24"/>
          <w:szCs w:val="24"/>
        </w:rPr>
      </w:pPr>
      <w:r w:rsidRPr="00565D64">
        <w:rPr>
          <w:rFonts w:ascii="Times New Roman" w:eastAsia="Times New Roman" w:hAnsi="Times New Roman" w:cs="Times New Roman"/>
          <w:b/>
          <w:bCs/>
          <w:color w:val="000000"/>
          <w:sz w:val="20"/>
          <w:szCs w:val="20"/>
        </w:rPr>
        <w:t>Take Home Points:</w:t>
      </w:r>
    </w:p>
    <w:p w14:paraId="312D7343" w14:textId="77777777" w:rsidR="00DF5F8D" w:rsidRDefault="00DF5F8D" w:rsidP="00DF5F8D">
      <w:pPr>
        <w:numPr>
          <w:ilvl w:val="0"/>
          <w:numId w:val="4"/>
        </w:numPr>
        <w:spacing w:line="240" w:lineRule="auto"/>
        <w:textAlignment w:val="baseline"/>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MiDOG</w:t>
      </w:r>
      <w:proofErr w:type="spellEnd"/>
      <w:r>
        <w:rPr>
          <w:rFonts w:ascii="Times New Roman" w:eastAsia="Times New Roman" w:hAnsi="Times New Roman" w:cs="Times New Roman"/>
          <w:color w:val="000000"/>
          <w:sz w:val="20"/>
          <w:szCs w:val="20"/>
        </w:rPr>
        <w:t xml:space="preserve"> (DNA sequencing) is a useful tool to diagnose </w:t>
      </w:r>
      <w:r w:rsidRPr="00804AE0">
        <w:rPr>
          <w:rFonts w:ascii="Times New Roman" w:eastAsia="Times New Roman" w:hAnsi="Times New Roman" w:cs="Times New Roman"/>
          <w:i/>
          <w:iCs/>
          <w:color w:val="000000"/>
          <w:sz w:val="20"/>
          <w:szCs w:val="20"/>
        </w:rPr>
        <w:t>Mycoplasma</w:t>
      </w:r>
      <w:r>
        <w:rPr>
          <w:rFonts w:ascii="Times New Roman" w:eastAsia="Times New Roman" w:hAnsi="Times New Roman" w:cs="Times New Roman"/>
          <w:color w:val="000000"/>
          <w:sz w:val="20"/>
          <w:szCs w:val="20"/>
        </w:rPr>
        <w:t xml:space="preserve"> via nasal flush with good agreement via PCR</w:t>
      </w:r>
    </w:p>
    <w:p w14:paraId="37ABABDB" w14:textId="77777777" w:rsidR="00DF5F8D" w:rsidRPr="00565D64" w:rsidRDefault="00DF5F8D" w:rsidP="00DF5F8D">
      <w:pPr>
        <w:numPr>
          <w:ilvl w:val="0"/>
          <w:numId w:val="4"/>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w:t>
      </w:r>
      <w:r w:rsidRPr="00804AE0">
        <w:rPr>
          <w:rFonts w:ascii="Times New Roman" w:eastAsia="Times New Roman" w:hAnsi="Times New Roman" w:cs="Times New Roman"/>
          <w:color w:val="000000"/>
          <w:sz w:val="20"/>
          <w:szCs w:val="20"/>
        </w:rPr>
        <w:t xml:space="preserve">he outlined nasal flush protocol successfully decreases detectability of </w:t>
      </w:r>
      <w:r w:rsidRPr="00804AE0">
        <w:rPr>
          <w:rFonts w:ascii="Times New Roman" w:eastAsia="Times New Roman" w:hAnsi="Times New Roman" w:cs="Times New Roman"/>
          <w:i/>
          <w:iCs/>
          <w:color w:val="000000"/>
          <w:sz w:val="20"/>
          <w:szCs w:val="20"/>
        </w:rPr>
        <w:t xml:space="preserve">M. </w:t>
      </w:r>
      <w:proofErr w:type="spellStart"/>
      <w:r w:rsidRPr="00804AE0">
        <w:rPr>
          <w:rFonts w:ascii="Times New Roman" w:eastAsia="Times New Roman" w:hAnsi="Times New Roman" w:cs="Times New Roman"/>
          <w:i/>
          <w:iCs/>
          <w:color w:val="000000"/>
          <w:sz w:val="20"/>
          <w:szCs w:val="20"/>
        </w:rPr>
        <w:t>agassizii</w:t>
      </w:r>
      <w:proofErr w:type="spellEnd"/>
      <w:r w:rsidRPr="00804AE0">
        <w:rPr>
          <w:rFonts w:ascii="Times New Roman" w:eastAsia="Times New Roman" w:hAnsi="Times New Roman" w:cs="Times New Roman"/>
          <w:i/>
          <w:iCs/>
          <w:color w:val="000000"/>
          <w:sz w:val="20"/>
          <w:szCs w:val="20"/>
        </w:rPr>
        <w:t xml:space="preserve"> </w:t>
      </w:r>
      <w:r w:rsidRPr="00804AE0">
        <w:rPr>
          <w:rFonts w:ascii="Times New Roman" w:eastAsia="Times New Roman" w:hAnsi="Times New Roman" w:cs="Times New Roman"/>
          <w:color w:val="000000"/>
          <w:sz w:val="20"/>
          <w:szCs w:val="20"/>
        </w:rPr>
        <w:t>in tortoises and was efficacious at acutely resolving nasal discharge. If the patient is still positive at the fifth treatment, additional nasal flushing should be considered until PCR testing is negative.</w:t>
      </w:r>
    </w:p>
    <w:p w14:paraId="4FECB438" w14:textId="77777777" w:rsidR="00DF5F8D" w:rsidRPr="00565D64" w:rsidRDefault="00DF5F8D" w:rsidP="00DF5F8D">
      <w:pPr>
        <w:spacing w:line="240" w:lineRule="auto"/>
        <w:rPr>
          <w:rFonts w:ascii="Times New Roman" w:eastAsia="Times New Roman" w:hAnsi="Times New Roman" w:cs="Times New Roman"/>
          <w:color w:val="000000"/>
          <w:sz w:val="24"/>
          <w:szCs w:val="24"/>
        </w:rPr>
      </w:pPr>
    </w:p>
    <w:p w14:paraId="63319F6F" w14:textId="77777777" w:rsidR="00DF5F8D" w:rsidRPr="00F97055" w:rsidRDefault="00DF5F8D" w:rsidP="00DF5F8D">
      <w:pPr>
        <w:spacing w:line="240" w:lineRule="auto"/>
        <w:rPr>
          <w:rFonts w:ascii="Times New Roman" w:eastAsia="Times New Roman" w:hAnsi="Times New Roman" w:cs="Times New Roman"/>
          <w:sz w:val="24"/>
          <w:szCs w:val="24"/>
          <w:lang w:val="en-US"/>
        </w:rPr>
      </w:pPr>
      <w:r>
        <w:br w:type="page"/>
      </w:r>
      <w:r w:rsidRPr="00F97055">
        <w:rPr>
          <w:rFonts w:ascii="Calibri" w:eastAsia="Times New Roman" w:hAnsi="Calibri" w:cs="Calibri"/>
          <w:color w:val="000000"/>
          <w:lang w:val="en-US"/>
        </w:rPr>
        <w:lastRenderedPageBreak/>
        <w:t>Journal of the American Veterinary Medical Association, 260(S2): S101-S110, 2022</w:t>
      </w:r>
    </w:p>
    <w:p w14:paraId="01BE3E1E"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b/>
          <w:bCs/>
          <w:color w:val="000000"/>
          <w:lang w:val="en-US"/>
        </w:rPr>
        <w:t>Relationship, difference, and diagnostic discordance between blood ionized and total calcium concentrations in client-owned chelonians</w:t>
      </w:r>
    </w:p>
    <w:p w14:paraId="7A61C1BD"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Nicola Di Girolamo</w:t>
      </w:r>
    </w:p>
    <w:p w14:paraId="13525C63" w14:textId="77777777" w:rsidR="00DF5F8D" w:rsidRPr="00F97055" w:rsidRDefault="00DF5F8D" w:rsidP="00DF5F8D">
      <w:pPr>
        <w:spacing w:line="240" w:lineRule="auto"/>
        <w:rPr>
          <w:rFonts w:ascii="Times New Roman" w:eastAsia="Times New Roman" w:hAnsi="Times New Roman" w:cs="Times New Roman"/>
          <w:sz w:val="24"/>
          <w:szCs w:val="24"/>
          <w:lang w:val="en-US"/>
        </w:rPr>
      </w:pPr>
    </w:p>
    <w:p w14:paraId="59AEFB95"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b/>
          <w:bCs/>
          <w:color w:val="000000"/>
          <w:lang w:val="en-US"/>
        </w:rPr>
        <w:t>Abstract:</w:t>
      </w:r>
    </w:p>
    <w:p w14:paraId="28F6771F"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OBJECTIVE</w:t>
      </w:r>
    </w:p>
    <w:p w14:paraId="12449AA2"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To determine (1) the relationship, (2) the difference, and (3) the diagnostic discordance between blood total calcium concentration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and ionized calcium concentration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in a population of client-owned chelonian patients.</w:t>
      </w:r>
    </w:p>
    <w:p w14:paraId="6CECFF6E"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ANIMALS</w:t>
      </w:r>
    </w:p>
    <w:p w14:paraId="5B102335"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161 consecutively admitted client-owned chelonians.</w:t>
      </w:r>
    </w:p>
    <w:p w14:paraId="15239906"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PROCEDURES</w:t>
      </w:r>
    </w:p>
    <w:p w14:paraId="11B23CD2"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 xml:space="preserve">Results for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and other variables were extracted from records. Bound calcium concentration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was calculated. General linear models were developed to evaluate factors affecting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and bound calcium concentrations. Diagnostic discordance between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and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was assessed.</w:t>
      </w:r>
    </w:p>
    <w:p w14:paraId="7DD3FC42"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RESULTS</w:t>
      </w:r>
    </w:p>
    <w:p w14:paraId="4881641D" w14:textId="77777777" w:rsidR="00DF5F8D" w:rsidRPr="00F97055" w:rsidRDefault="00DF5F8D" w:rsidP="00DF5F8D">
      <w:pPr>
        <w:spacing w:line="240" w:lineRule="auto"/>
        <w:rPr>
          <w:rFonts w:ascii="Times New Roman" w:eastAsia="Times New Roman" w:hAnsi="Times New Roman" w:cs="Times New Roman"/>
          <w:sz w:val="24"/>
          <w:szCs w:val="24"/>
          <w:lang w:val="en-US"/>
        </w:rPr>
      </w:pPr>
      <w:proofErr w:type="spellStart"/>
      <w:r w:rsidRPr="00F97055">
        <w:rPr>
          <w:rFonts w:ascii="Calibri" w:eastAsia="Times New Roman" w:hAnsi="Calibri" w:cs="Calibri"/>
          <w:b/>
          <w:bCs/>
          <w:color w:val="000000"/>
          <w:lang w:val="en-US"/>
        </w:rPr>
        <w:t>iCa</w:t>
      </w:r>
      <w:proofErr w:type="spellEnd"/>
      <w:r w:rsidRPr="00F97055">
        <w:rPr>
          <w:rFonts w:ascii="Calibri" w:eastAsia="Times New Roman" w:hAnsi="Calibri" w:cs="Calibri"/>
          <w:b/>
          <w:bCs/>
          <w:color w:val="000000"/>
          <w:lang w:val="en-US"/>
        </w:rPr>
        <w:t xml:space="preserve"> decreased with increasing albumin concentration, it was not influenced by sex, and it was lower in chelonians with disorders of the reproductive tract than in those with disorders of the endocrine/hemopoietic and urinary systems</w:t>
      </w:r>
      <w:r w:rsidRPr="00F97055">
        <w:rPr>
          <w:rFonts w:ascii="Calibri" w:eastAsia="Times New Roman" w:hAnsi="Calibri" w:cs="Calibri"/>
          <w:color w:val="000000"/>
          <w:lang w:val="en-US"/>
        </w:rPr>
        <w:t xml:space="preserve">. </w:t>
      </w:r>
      <w:r w:rsidRPr="00F97055">
        <w:rPr>
          <w:rFonts w:ascii="Calibri" w:eastAsia="Times New Roman" w:hAnsi="Calibri" w:cs="Calibri"/>
          <w:b/>
          <w:bCs/>
          <w:color w:val="000000"/>
          <w:lang w:val="en-US"/>
        </w:rPr>
        <w:t>Total calcium and bound calcium concentrations increased with increasing albumin</w:t>
      </w:r>
      <w:r w:rsidRPr="00F97055">
        <w:rPr>
          <w:rFonts w:ascii="Calibri" w:eastAsia="Times New Roman" w:hAnsi="Calibri" w:cs="Calibri"/>
          <w:color w:val="000000"/>
          <w:lang w:val="en-US"/>
        </w:rPr>
        <w:t xml:space="preserve"> concentration; they were </w:t>
      </w:r>
      <w:r w:rsidRPr="00F97055">
        <w:rPr>
          <w:rFonts w:ascii="Calibri" w:eastAsia="Times New Roman" w:hAnsi="Calibri" w:cs="Calibri"/>
          <w:b/>
          <w:bCs/>
          <w:color w:val="000000"/>
          <w:lang w:val="en-US"/>
        </w:rPr>
        <w:t>higher in females and in chelonians with disorders of the reproductive tract.</w:t>
      </w:r>
      <w:r w:rsidRPr="00F97055">
        <w:rPr>
          <w:rFonts w:ascii="Calibri" w:eastAsia="Times New Roman" w:hAnsi="Calibri" w:cs="Calibri"/>
          <w:color w:val="000000"/>
          <w:lang w:val="en-US"/>
        </w:rPr>
        <w:t xml:space="preserve"> Of the 161 chelonians, 93 </w:t>
      </w:r>
      <w:r w:rsidRPr="00F97055">
        <w:rPr>
          <w:rFonts w:ascii="Calibri" w:eastAsia="Times New Roman" w:hAnsi="Calibri" w:cs="Calibri"/>
          <w:b/>
          <w:bCs/>
          <w:color w:val="000000"/>
          <w:lang w:val="en-US"/>
        </w:rPr>
        <w:t xml:space="preserve">(57.7%; 95% CI, 49.7% to 65.5%) would have had a different diagnosis of calcium status based on </w:t>
      </w:r>
      <w:proofErr w:type="spellStart"/>
      <w:r w:rsidRPr="00F97055">
        <w:rPr>
          <w:rFonts w:ascii="Calibri" w:eastAsia="Times New Roman" w:hAnsi="Calibri" w:cs="Calibri"/>
          <w:b/>
          <w:bCs/>
          <w:color w:val="000000"/>
          <w:lang w:val="en-US"/>
        </w:rPr>
        <w:t>tCa</w:t>
      </w:r>
      <w:proofErr w:type="spellEnd"/>
      <w:r w:rsidRPr="00F97055">
        <w:rPr>
          <w:rFonts w:ascii="Calibri" w:eastAsia="Times New Roman" w:hAnsi="Calibri" w:cs="Calibri"/>
          <w:b/>
          <w:bCs/>
          <w:color w:val="000000"/>
          <w:lang w:val="en-US"/>
        </w:rPr>
        <w:t xml:space="preserve"> and </w:t>
      </w:r>
      <w:proofErr w:type="spellStart"/>
      <w:r w:rsidRPr="00F97055">
        <w:rPr>
          <w:rFonts w:ascii="Calibri" w:eastAsia="Times New Roman" w:hAnsi="Calibri" w:cs="Calibri"/>
          <w:b/>
          <w:bCs/>
          <w:color w:val="000000"/>
          <w:lang w:val="en-US"/>
        </w:rPr>
        <w:t>iCa</w:t>
      </w:r>
      <w:proofErr w:type="spellEnd"/>
      <w:r w:rsidRPr="00F97055">
        <w:rPr>
          <w:rFonts w:ascii="Calibri" w:eastAsia="Times New Roman" w:hAnsi="Calibri" w:cs="Calibri"/>
          <w:b/>
          <w:bCs/>
          <w:color w:val="000000"/>
          <w:lang w:val="en-US"/>
        </w:rPr>
        <w:t xml:space="preserve"> results</w:t>
      </w:r>
      <w:r w:rsidRPr="00F97055">
        <w:rPr>
          <w:rFonts w:ascii="Calibri" w:eastAsia="Times New Roman" w:hAnsi="Calibri" w:cs="Calibri"/>
          <w:color w:val="000000"/>
          <w:lang w:val="en-US"/>
        </w:rPr>
        <w:t xml:space="preserve"> (</w:t>
      </w:r>
      <w:proofErr w:type="spellStart"/>
      <w:r w:rsidRPr="00F97055">
        <w:rPr>
          <w:rFonts w:ascii="Calibri" w:eastAsia="Times New Roman" w:hAnsi="Calibri" w:cs="Calibri"/>
          <w:color w:val="000000"/>
          <w:lang w:val="en-US"/>
        </w:rPr>
        <w:t>ie</w:t>
      </w:r>
      <w:proofErr w:type="spellEnd"/>
      <w:r w:rsidRPr="00F97055">
        <w:rPr>
          <w:rFonts w:ascii="Calibri" w:eastAsia="Times New Roman" w:hAnsi="Calibri" w:cs="Calibri"/>
          <w:color w:val="000000"/>
          <w:lang w:val="en-US"/>
        </w:rPr>
        <w:t xml:space="preserve">, diagnostic discordance). A </w:t>
      </w:r>
      <w:r w:rsidRPr="00F97055">
        <w:rPr>
          <w:rFonts w:ascii="Calibri" w:eastAsia="Times New Roman" w:hAnsi="Calibri" w:cs="Calibri"/>
          <w:b/>
          <w:bCs/>
          <w:color w:val="000000"/>
          <w:lang w:val="en-US"/>
        </w:rPr>
        <w:t>2.2 mmol/L cutoff value for bound calcium could differentiate chelonians with and without disorders of the reproductive tract</w:t>
      </w:r>
      <w:r w:rsidRPr="00F97055">
        <w:rPr>
          <w:rFonts w:ascii="Calibri" w:eastAsia="Times New Roman" w:hAnsi="Calibri" w:cs="Calibri"/>
          <w:color w:val="000000"/>
          <w:lang w:val="en-US"/>
        </w:rPr>
        <w:t xml:space="preserve"> with a sensitivity (95% CI) of 81.8% (64.5% to 93.0%) and specificity of 76.4% (68.0% to 83.5%).</w:t>
      </w:r>
    </w:p>
    <w:p w14:paraId="26EA9B5B"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color w:val="000000"/>
          <w:lang w:val="en-US"/>
        </w:rPr>
        <w:t>CLINICAL RELEVANCE</w:t>
      </w:r>
    </w:p>
    <w:p w14:paraId="1156BE57" w14:textId="77777777" w:rsidR="00DF5F8D" w:rsidRPr="00F97055" w:rsidRDefault="00DF5F8D" w:rsidP="00DF5F8D">
      <w:pPr>
        <w:spacing w:line="240" w:lineRule="auto"/>
        <w:rPr>
          <w:rFonts w:ascii="Times New Roman" w:eastAsia="Times New Roman" w:hAnsi="Times New Roman" w:cs="Times New Roman"/>
          <w:sz w:val="24"/>
          <w:szCs w:val="24"/>
          <w:lang w:val="en-US"/>
        </w:rPr>
      </w:pP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and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were related and were associated with albumin concentrations in chelonians. </w:t>
      </w:r>
      <w:r w:rsidRPr="00F97055">
        <w:rPr>
          <w:rFonts w:ascii="Calibri" w:eastAsia="Times New Roman" w:hAnsi="Calibri" w:cs="Calibri"/>
          <w:b/>
          <w:bCs/>
          <w:color w:val="000000"/>
          <w:lang w:val="en-US"/>
        </w:rPr>
        <w:t xml:space="preserve">Evaluation of </w:t>
      </w:r>
      <w:proofErr w:type="spellStart"/>
      <w:r w:rsidRPr="00F97055">
        <w:rPr>
          <w:rFonts w:ascii="Calibri" w:eastAsia="Times New Roman" w:hAnsi="Calibri" w:cs="Calibri"/>
          <w:b/>
          <w:bCs/>
          <w:color w:val="000000"/>
          <w:lang w:val="en-US"/>
        </w:rPr>
        <w:t>tCa</w:t>
      </w:r>
      <w:proofErr w:type="spellEnd"/>
      <w:r w:rsidRPr="00F97055">
        <w:rPr>
          <w:rFonts w:ascii="Calibri" w:eastAsia="Times New Roman" w:hAnsi="Calibri" w:cs="Calibri"/>
          <w:b/>
          <w:bCs/>
          <w:color w:val="000000"/>
          <w:lang w:val="en-US"/>
        </w:rPr>
        <w:t xml:space="preserve"> or </w:t>
      </w:r>
      <w:proofErr w:type="spellStart"/>
      <w:r w:rsidRPr="00F97055">
        <w:rPr>
          <w:rFonts w:ascii="Calibri" w:eastAsia="Times New Roman" w:hAnsi="Calibri" w:cs="Calibri"/>
          <w:b/>
          <w:bCs/>
          <w:color w:val="000000"/>
          <w:lang w:val="en-US"/>
        </w:rPr>
        <w:t>iCa</w:t>
      </w:r>
      <w:proofErr w:type="spellEnd"/>
      <w:r w:rsidRPr="00F97055">
        <w:rPr>
          <w:rFonts w:ascii="Calibri" w:eastAsia="Times New Roman" w:hAnsi="Calibri" w:cs="Calibri"/>
          <w:b/>
          <w:bCs/>
          <w:color w:val="000000"/>
          <w:lang w:val="en-US"/>
        </w:rPr>
        <w:t xml:space="preserve"> alone is likely to result in underdiagnosis of alterations of the calcium status. Calculation of bound calcium concentration could help identify chelonians with reproductive disorders.</w:t>
      </w:r>
    </w:p>
    <w:p w14:paraId="47D0BFA2" w14:textId="77777777" w:rsidR="00DF5F8D" w:rsidRPr="00F97055" w:rsidRDefault="00DF5F8D" w:rsidP="00DF5F8D">
      <w:pPr>
        <w:spacing w:line="240" w:lineRule="auto"/>
        <w:rPr>
          <w:rFonts w:ascii="Times New Roman" w:eastAsia="Times New Roman" w:hAnsi="Times New Roman" w:cs="Times New Roman"/>
          <w:sz w:val="24"/>
          <w:szCs w:val="24"/>
          <w:lang w:val="en-US"/>
        </w:rPr>
      </w:pPr>
    </w:p>
    <w:p w14:paraId="2E549440"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b/>
          <w:bCs/>
          <w:color w:val="000000"/>
          <w:lang w:val="en-US"/>
        </w:rPr>
        <w:t>Key Points:</w:t>
      </w:r>
    </w:p>
    <w:p w14:paraId="7DC83263"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Blood calcium concentrations may be affected by several parameters including diet, exposure to UVB radiation, sex, season, physiological status, and medications, among others.</w:t>
      </w:r>
    </w:p>
    <w:p w14:paraId="044209B0"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Plasmatic calcium is present in three different states: ionized or free (</w:t>
      </w:r>
      <w:proofErr w:type="spellStart"/>
      <w:r w:rsidRPr="00F97055">
        <w:rPr>
          <w:rFonts w:ascii="Calibri" w:eastAsia="Times New Roman" w:hAnsi="Calibri" w:cs="Calibri"/>
          <w:color w:val="000000"/>
          <w:lang w:val="en-US"/>
        </w:rPr>
        <w:t>approx</w:t>
      </w:r>
      <w:proofErr w:type="spellEnd"/>
      <w:r w:rsidRPr="00F97055">
        <w:rPr>
          <w:rFonts w:ascii="Calibri" w:eastAsia="Times New Roman" w:hAnsi="Calibri" w:cs="Calibri"/>
          <w:color w:val="000000"/>
          <w:lang w:val="en-US"/>
        </w:rPr>
        <w:t xml:space="preserve"> 56% in dogs and 45% in humans), protein bound (</w:t>
      </w:r>
      <w:proofErr w:type="spellStart"/>
      <w:r w:rsidRPr="00F97055">
        <w:rPr>
          <w:rFonts w:ascii="Calibri" w:eastAsia="Times New Roman" w:hAnsi="Calibri" w:cs="Calibri"/>
          <w:color w:val="000000"/>
          <w:lang w:val="en-US"/>
        </w:rPr>
        <w:t>approx</w:t>
      </w:r>
      <w:proofErr w:type="spellEnd"/>
      <w:r w:rsidRPr="00F97055">
        <w:rPr>
          <w:rFonts w:ascii="Calibri" w:eastAsia="Times New Roman" w:hAnsi="Calibri" w:cs="Calibri"/>
          <w:color w:val="000000"/>
          <w:lang w:val="en-US"/>
        </w:rPr>
        <w:t xml:space="preserve"> 34% in dogs and 41% in humans), and bound to other anions, such as phosphate, lactate, and bicarbonate (approximately 10% in dogs and 14% in humans)</w:t>
      </w:r>
    </w:p>
    <w:p w14:paraId="747A5304"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 xml:space="preserve">Blood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concentration increased by 0.25 mmol/L for each unit of increase in blood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concentration, decreased of 0.20 mmol/L for each unit of increase in blood albumin concentration, and was similar between females or males and animals of unknown sex.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was higher in red-eared sliders, African spurred tortoises, and leopard tortoises compared to other species.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was higher in chelonians with endocrine/hemopoietic and urinary organ systems affected than in chelonians with reproductive organ system affected</w:t>
      </w:r>
    </w:p>
    <w:p w14:paraId="13CFB57F"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 xml:space="preserve">Blood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concentration increased by 5.49 mg/dL for each unit of increase in blood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concentration, increased of 2.3 mg/dL for each unit of increase of albumin, and was 2.25 mg/dL higher in females than in animals of unknown sex, while it was similar between males and animals of unknown sex. Blood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was lower in African spurred tortoises and leopard tortoises </w:t>
      </w:r>
      <w:r w:rsidRPr="00F97055">
        <w:rPr>
          <w:rFonts w:ascii="Calibri" w:eastAsia="Times New Roman" w:hAnsi="Calibri" w:cs="Calibri"/>
          <w:color w:val="000000"/>
          <w:lang w:val="en-US"/>
        </w:rPr>
        <w:lastRenderedPageBreak/>
        <w:t>and higher in chelonians with reproductive organ system affected than in chelonians with any other organ systems affected </w:t>
      </w:r>
    </w:p>
    <w:p w14:paraId="22727220"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 xml:space="preserve">The difference between blood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and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concentrations (bound calcium) increased by 0.54 mmol/L for each unit increase in blood albumin concentration and was 0.59 mmol/L higher in females than in animals of unknown sex. Bound calcium was higher in chelonians with reproductive disorders than in chelonians with any other organ system affected</w:t>
      </w:r>
    </w:p>
    <w:p w14:paraId="1B90F6D1"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 xml:space="preserve">When chelonians were categorized </w:t>
      </w:r>
      <w:proofErr w:type="gramStart"/>
      <w:r w:rsidRPr="00F97055">
        <w:rPr>
          <w:rFonts w:ascii="Calibri" w:eastAsia="Times New Roman" w:hAnsi="Calibri" w:cs="Calibri"/>
          <w:color w:val="000000"/>
          <w:lang w:val="en-US"/>
        </w:rPr>
        <w:t>on the basis of</w:t>
      </w:r>
      <w:proofErr w:type="gramEnd"/>
      <w:r w:rsidRPr="00F97055">
        <w:rPr>
          <w:rFonts w:ascii="Calibri" w:eastAsia="Times New Roman" w:hAnsi="Calibri" w:cs="Calibri"/>
          <w:color w:val="000000"/>
          <w:lang w:val="en-US"/>
        </w:rPr>
        <w:t xml:space="preserve"> a priori determined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cutoffs of 10 to 14 mg/dL, 67 (41.6%) were </w:t>
      </w:r>
      <w:proofErr w:type="spellStart"/>
      <w:r w:rsidRPr="00F97055">
        <w:rPr>
          <w:rFonts w:ascii="Calibri" w:eastAsia="Times New Roman" w:hAnsi="Calibri" w:cs="Calibri"/>
          <w:color w:val="000000"/>
          <w:lang w:val="en-US"/>
        </w:rPr>
        <w:t>normocalcemic</w:t>
      </w:r>
      <w:proofErr w:type="spellEnd"/>
      <w:r w:rsidRPr="00F97055">
        <w:rPr>
          <w:rFonts w:ascii="Calibri" w:eastAsia="Times New Roman" w:hAnsi="Calibri" w:cs="Calibri"/>
          <w:color w:val="000000"/>
          <w:lang w:val="en-US"/>
        </w:rPr>
        <w:t xml:space="preserve">, 31 (19.3%) were </w:t>
      </w:r>
      <w:proofErr w:type="spellStart"/>
      <w:r w:rsidRPr="00F97055">
        <w:rPr>
          <w:rFonts w:ascii="Calibri" w:eastAsia="Times New Roman" w:hAnsi="Calibri" w:cs="Calibri"/>
          <w:color w:val="000000"/>
          <w:lang w:val="en-US"/>
        </w:rPr>
        <w:t>hypocalcemic</w:t>
      </w:r>
      <w:proofErr w:type="spellEnd"/>
      <w:r w:rsidRPr="00F97055">
        <w:rPr>
          <w:rFonts w:ascii="Calibri" w:eastAsia="Times New Roman" w:hAnsi="Calibri" w:cs="Calibri"/>
          <w:color w:val="000000"/>
          <w:lang w:val="en-US"/>
        </w:rPr>
        <w:t xml:space="preserve">, and 63 (39.1%) were hypercalcemic. When chelonians were categorized </w:t>
      </w:r>
      <w:proofErr w:type="gramStart"/>
      <w:r w:rsidRPr="00F97055">
        <w:rPr>
          <w:rFonts w:ascii="Calibri" w:eastAsia="Times New Roman" w:hAnsi="Calibri" w:cs="Calibri"/>
          <w:color w:val="000000"/>
          <w:lang w:val="en-US"/>
        </w:rPr>
        <w:t>on the basis of</w:t>
      </w:r>
      <w:proofErr w:type="gramEnd"/>
      <w:r w:rsidRPr="00F97055">
        <w:rPr>
          <w:rFonts w:ascii="Calibri" w:eastAsia="Times New Roman" w:hAnsi="Calibri" w:cs="Calibri"/>
          <w:color w:val="000000"/>
          <w:lang w:val="en-US"/>
        </w:rPr>
        <w:t xml:space="preserve"> a priori determined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cutoffs of 1.2 to 1.6 mmol/L, 70 (43.5%) were </w:t>
      </w:r>
      <w:proofErr w:type="spellStart"/>
      <w:r w:rsidRPr="00F97055">
        <w:rPr>
          <w:rFonts w:ascii="Calibri" w:eastAsia="Times New Roman" w:hAnsi="Calibri" w:cs="Calibri"/>
          <w:color w:val="000000"/>
          <w:lang w:val="en-US"/>
        </w:rPr>
        <w:t>normocalcemic</w:t>
      </w:r>
      <w:proofErr w:type="spellEnd"/>
      <w:r w:rsidRPr="00F97055">
        <w:rPr>
          <w:rFonts w:ascii="Calibri" w:eastAsia="Times New Roman" w:hAnsi="Calibri" w:cs="Calibri"/>
          <w:color w:val="000000"/>
          <w:lang w:val="en-US"/>
        </w:rPr>
        <w:t xml:space="preserve">, 22 (13.7%) were </w:t>
      </w:r>
      <w:proofErr w:type="spellStart"/>
      <w:r w:rsidRPr="00F97055">
        <w:rPr>
          <w:rFonts w:ascii="Calibri" w:eastAsia="Times New Roman" w:hAnsi="Calibri" w:cs="Calibri"/>
          <w:color w:val="000000"/>
          <w:lang w:val="en-US"/>
        </w:rPr>
        <w:t>hypocalcemic</w:t>
      </w:r>
      <w:proofErr w:type="spellEnd"/>
      <w:r w:rsidRPr="00F97055">
        <w:rPr>
          <w:rFonts w:ascii="Calibri" w:eastAsia="Times New Roman" w:hAnsi="Calibri" w:cs="Calibri"/>
          <w:color w:val="000000"/>
          <w:lang w:val="en-US"/>
        </w:rPr>
        <w:t>, and 69 (42.9%) were hypercalcemic </w:t>
      </w:r>
    </w:p>
    <w:p w14:paraId="23596474"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 xml:space="preserve">Diagnostic discordance between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and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in chelonians was common (between 57.7% and 36.6%, depending on the cutoffs used)</w:t>
      </w:r>
    </w:p>
    <w:p w14:paraId="376F7648" w14:textId="77777777" w:rsidR="00DF5F8D" w:rsidRPr="00F97055" w:rsidRDefault="00DF5F8D" w:rsidP="00DF5F8D">
      <w:pPr>
        <w:numPr>
          <w:ilvl w:val="0"/>
          <w:numId w:val="9"/>
        </w:numPr>
        <w:spacing w:line="240" w:lineRule="auto"/>
        <w:textAlignment w:val="baseline"/>
        <w:rPr>
          <w:rFonts w:ascii="Calibri" w:eastAsia="Times New Roman" w:hAnsi="Calibri" w:cs="Calibri"/>
          <w:color w:val="000000"/>
          <w:lang w:val="en-US"/>
        </w:rPr>
      </w:pPr>
      <w:r w:rsidRPr="00F97055">
        <w:rPr>
          <w:rFonts w:ascii="Calibri" w:eastAsia="Times New Roman" w:hAnsi="Calibri" w:cs="Calibri"/>
          <w:color w:val="000000"/>
          <w:lang w:val="en-US"/>
        </w:rPr>
        <w:t>The cutoff value for blood-bound calcium concentration at 2.2 mmol/L could differentiate chelonians with and without reproductive disorders with a sensitivity of 81.8% (64.5% to 93.0%), specificity of 76.4% (68.0% to 83.5%) (higher in animals with reproductive disease)</w:t>
      </w:r>
    </w:p>
    <w:p w14:paraId="4A196E37" w14:textId="77777777" w:rsidR="00DF5F8D" w:rsidRPr="00F97055" w:rsidRDefault="00DF5F8D" w:rsidP="00DF5F8D">
      <w:pPr>
        <w:spacing w:line="240" w:lineRule="auto"/>
        <w:rPr>
          <w:rFonts w:ascii="Times New Roman" w:eastAsia="Times New Roman" w:hAnsi="Times New Roman" w:cs="Times New Roman"/>
          <w:sz w:val="24"/>
          <w:szCs w:val="24"/>
          <w:lang w:val="en-US"/>
        </w:rPr>
      </w:pPr>
    </w:p>
    <w:p w14:paraId="4CA60773" w14:textId="77777777" w:rsidR="00DF5F8D" w:rsidRPr="00F97055" w:rsidRDefault="00DF5F8D" w:rsidP="00DF5F8D">
      <w:pPr>
        <w:spacing w:line="240" w:lineRule="auto"/>
        <w:rPr>
          <w:rFonts w:ascii="Times New Roman" w:eastAsia="Times New Roman" w:hAnsi="Times New Roman" w:cs="Times New Roman"/>
          <w:sz w:val="24"/>
          <w:szCs w:val="24"/>
          <w:lang w:val="en-US"/>
        </w:rPr>
      </w:pPr>
      <w:r w:rsidRPr="00F97055">
        <w:rPr>
          <w:rFonts w:ascii="Calibri" w:eastAsia="Times New Roman" w:hAnsi="Calibri" w:cs="Calibri"/>
          <w:b/>
          <w:bCs/>
          <w:color w:val="000000"/>
          <w:lang w:val="en-US"/>
        </w:rPr>
        <w:t>Take-Home Message:</w:t>
      </w:r>
    </w:p>
    <w:p w14:paraId="1878ADF5" w14:textId="77777777" w:rsidR="00DF5F8D" w:rsidRPr="00F97055" w:rsidRDefault="00DF5F8D" w:rsidP="00DF5F8D">
      <w:pPr>
        <w:numPr>
          <w:ilvl w:val="0"/>
          <w:numId w:val="10"/>
        </w:numPr>
        <w:spacing w:line="240" w:lineRule="auto"/>
        <w:textAlignment w:val="baseline"/>
        <w:rPr>
          <w:rFonts w:ascii="Calibri" w:eastAsia="Times New Roman" w:hAnsi="Calibri" w:cs="Calibri"/>
          <w:color w:val="000000"/>
          <w:lang w:val="en-US"/>
        </w:rPr>
      </w:pP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decreased with increasing albumin concentration, it was not influenced by sex, and it was lower in chelonians with disorders of the reproductive tract than in those with disorders of the endocrine/hemopoietic and urinary systems. Total calcium and bound calcium concentrations increased with increasing albumin concentration; they were higher in females and in chelonians with disorders of the reproductive tract. 57.7% had diagnostic discordance between </w:t>
      </w:r>
      <w:proofErr w:type="spellStart"/>
      <w:r w:rsidRPr="00F97055">
        <w:rPr>
          <w:rFonts w:ascii="Calibri" w:eastAsia="Times New Roman" w:hAnsi="Calibri" w:cs="Calibri"/>
          <w:color w:val="000000"/>
          <w:lang w:val="en-US"/>
        </w:rPr>
        <w:t>tCa</w:t>
      </w:r>
      <w:proofErr w:type="spellEnd"/>
      <w:r w:rsidRPr="00F97055">
        <w:rPr>
          <w:rFonts w:ascii="Calibri" w:eastAsia="Times New Roman" w:hAnsi="Calibri" w:cs="Calibri"/>
          <w:color w:val="000000"/>
          <w:lang w:val="en-US"/>
        </w:rPr>
        <w:t xml:space="preserve"> and </w:t>
      </w:r>
      <w:proofErr w:type="spellStart"/>
      <w:r w:rsidRPr="00F97055">
        <w:rPr>
          <w:rFonts w:ascii="Calibri" w:eastAsia="Times New Roman" w:hAnsi="Calibri" w:cs="Calibri"/>
          <w:color w:val="000000"/>
          <w:lang w:val="en-US"/>
        </w:rPr>
        <w:t>iCa</w:t>
      </w:r>
      <w:proofErr w:type="spellEnd"/>
      <w:r w:rsidRPr="00F97055">
        <w:rPr>
          <w:rFonts w:ascii="Calibri" w:eastAsia="Times New Roman" w:hAnsi="Calibri" w:cs="Calibri"/>
          <w:color w:val="000000"/>
          <w:lang w:val="en-US"/>
        </w:rPr>
        <w:t xml:space="preserve"> results. A 2.2 mmol/L cutoff value for bound calcium could differentiate chelonians with and without disorders of the reproductive tract. </w:t>
      </w:r>
    </w:p>
    <w:p w14:paraId="68B6480C" w14:textId="77777777" w:rsidR="00DF5F8D" w:rsidRPr="00F97055" w:rsidRDefault="00DF5F8D" w:rsidP="00DF5F8D">
      <w:pPr>
        <w:pBdr>
          <w:bottom w:val="single" w:sz="12" w:space="1" w:color="000000"/>
        </w:pBdr>
        <w:spacing w:line="240" w:lineRule="auto"/>
        <w:jc w:val="center"/>
        <w:rPr>
          <w:rFonts w:ascii="Times New Roman" w:eastAsia="Times New Roman" w:hAnsi="Times New Roman" w:cs="Times New Roman"/>
          <w:sz w:val="24"/>
          <w:szCs w:val="24"/>
          <w:lang w:val="en-US"/>
        </w:rPr>
      </w:pPr>
    </w:p>
    <w:p w14:paraId="33F6EF78" w14:textId="77777777" w:rsidR="00DF5F8D" w:rsidRPr="00F97055" w:rsidRDefault="00DF5F8D" w:rsidP="00DF5F8D">
      <w:pPr>
        <w:spacing w:line="240" w:lineRule="auto"/>
        <w:rPr>
          <w:rFonts w:ascii="Times New Roman" w:eastAsia="Times New Roman" w:hAnsi="Times New Roman" w:cs="Times New Roman"/>
          <w:sz w:val="24"/>
          <w:szCs w:val="24"/>
          <w:lang w:val="en-US"/>
        </w:rPr>
      </w:pPr>
    </w:p>
    <w:p w14:paraId="234D92C8" w14:textId="77777777" w:rsidR="00DF5F8D" w:rsidRPr="00E8372E" w:rsidRDefault="00DF5F8D" w:rsidP="00DF5F8D">
      <w:pPr>
        <w:rPr>
          <w:rFonts w:ascii="Calibri" w:eastAsia="Calibri" w:hAnsi="Calibri" w:cs="Calibri"/>
        </w:rPr>
      </w:pPr>
      <w:r w:rsidRPr="00E8372E">
        <w:rPr>
          <w:rFonts w:ascii="Calibri" w:eastAsia="Calibri" w:hAnsi="Calibri" w:cs="Calibri"/>
        </w:rPr>
        <w:t>Journal of Herpetological Medicine and Surgery, 34(2): 145-149, 2024</w:t>
      </w:r>
    </w:p>
    <w:p w14:paraId="7204C15E" w14:textId="77777777" w:rsidR="00DF5F8D" w:rsidRPr="00E8372E" w:rsidRDefault="00DF5F8D" w:rsidP="00DF5F8D">
      <w:pPr>
        <w:rPr>
          <w:rFonts w:ascii="Calibri" w:eastAsia="Calibri" w:hAnsi="Calibri" w:cs="Calibri"/>
          <w:b/>
          <w:bCs/>
        </w:rPr>
      </w:pPr>
      <w:r w:rsidRPr="00E8372E">
        <w:rPr>
          <w:rFonts w:ascii="Calibri" w:eastAsia="Calibri" w:hAnsi="Calibri" w:cs="Calibri"/>
          <w:b/>
          <w:bCs/>
        </w:rPr>
        <w:t>PREVALENCE OF UROLITHIASIS IN CLIENT-OWNED CHELONIANS AND ITS ASSOCIATION WITH SELECTED HOUSING AND DIETARY PARAMETERS IN AFRICAN SPURRED TORTOISES (</w:t>
      </w:r>
      <w:r w:rsidRPr="00E8372E">
        <w:rPr>
          <w:rFonts w:ascii="Calibri" w:eastAsia="Calibri" w:hAnsi="Calibri" w:cs="Calibri"/>
          <w:b/>
          <w:bCs/>
          <w:i/>
          <w:iCs/>
        </w:rPr>
        <w:t>CENTROCHELYS SULCATA</w:t>
      </w:r>
      <w:r w:rsidRPr="00E8372E">
        <w:rPr>
          <w:rFonts w:ascii="Calibri" w:eastAsia="Calibri" w:hAnsi="Calibri" w:cs="Calibri"/>
          <w:b/>
          <w:bCs/>
        </w:rPr>
        <w:t>)</w:t>
      </w:r>
    </w:p>
    <w:p w14:paraId="3B7B34A0" w14:textId="77777777" w:rsidR="00DF5F8D" w:rsidRDefault="00DF5F8D" w:rsidP="00DF5F8D">
      <w:pPr>
        <w:rPr>
          <w:rFonts w:ascii="Calibri" w:eastAsia="Calibri" w:hAnsi="Calibri" w:cs="Calibri"/>
        </w:rPr>
      </w:pPr>
      <w:proofErr w:type="spellStart"/>
      <w:r w:rsidRPr="00E8372E">
        <w:rPr>
          <w:rFonts w:ascii="Calibri" w:eastAsia="Times New Roman" w:hAnsi="Calibri" w:cs="Calibri"/>
          <w:color w:val="000000"/>
          <w:lang w:val="en-US"/>
        </w:rPr>
        <w:t>Violaine</w:t>
      </w:r>
      <w:proofErr w:type="spellEnd"/>
      <w:r w:rsidRPr="00E8372E">
        <w:rPr>
          <w:rFonts w:ascii="Calibri" w:eastAsia="Times New Roman" w:hAnsi="Calibri" w:cs="Calibri"/>
          <w:color w:val="000000"/>
          <w:lang w:val="en-US"/>
        </w:rPr>
        <w:t xml:space="preserve"> Colon, Nicola DiGirolamo</w:t>
      </w:r>
    </w:p>
    <w:p w14:paraId="009EB32C" w14:textId="77777777" w:rsidR="00DF5F8D" w:rsidRDefault="00DF5F8D" w:rsidP="00DF5F8D">
      <w:pPr>
        <w:rPr>
          <w:rFonts w:ascii="Calibri" w:eastAsia="Calibri" w:hAnsi="Calibri" w:cs="Calibri"/>
        </w:rPr>
      </w:pPr>
      <w:r>
        <w:fldChar w:fldCharType="begin"/>
      </w:r>
      <w:r>
        <w:instrText xml:space="preserve"> INCLUDEPICTURE "https://animals.sandiegozoo.org/sites/default/files/2016-11/animals_hero_african_spurred_tortoise.jpg" \* MERGEFORMATINET </w:instrText>
      </w:r>
      <w:r>
        <w:fldChar w:fldCharType="separate"/>
      </w:r>
      <w:r>
        <w:rPr>
          <w:noProof/>
        </w:rPr>
        <w:drawing>
          <wp:inline distT="0" distB="0" distL="0" distR="0" wp14:anchorId="356F3B44" wp14:editId="0741617E">
            <wp:extent cx="2062716" cy="1160469"/>
            <wp:effectExtent l="0" t="0" r="0" b="0"/>
            <wp:docPr id="1923187300" name="Picture 17" descr="African Spurred Tortoise | San Diego Zoo Animals &amp;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rican Spurred Tortoise | San Diego Zoo Animals &amp; Plant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9539" cy="1175559"/>
                    </a:xfrm>
                    <a:prstGeom prst="rect">
                      <a:avLst/>
                    </a:prstGeom>
                    <a:noFill/>
                    <a:ln>
                      <a:noFill/>
                    </a:ln>
                  </pic:spPr>
                </pic:pic>
              </a:graphicData>
            </a:graphic>
          </wp:inline>
        </w:drawing>
      </w:r>
      <w:r>
        <w:fldChar w:fldCharType="end"/>
      </w:r>
    </w:p>
    <w:p w14:paraId="634C58AD" w14:textId="77777777" w:rsidR="00DF5F8D" w:rsidRDefault="00DF5F8D" w:rsidP="00DF5F8D">
      <w:pPr>
        <w:rPr>
          <w:rFonts w:ascii="Calibri" w:eastAsia="Calibri" w:hAnsi="Calibri" w:cs="Calibri"/>
        </w:rPr>
      </w:pPr>
    </w:p>
    <w:p w14:paraId="02F2DFCF" w14:textId="77777777" w:rsidR="00DF5F8D" w:rsidRDefault="00DF5F8D" w:rsidP="00DF5F8D">
      <w:pPr>
        <w:spacing w:line="240" w:lineRule="auto"/>
        <w:rPr>
          <w:rFonts w:ascii="Calibri" w:eastAsia="Times New Roman" w:hAnsi="Calibri" w:cs="Calibri"/>
          <w:b/>
          <w:bCs/>
          <w:color w:val="000000"/>
          <w:lang w:val="en-US"/>
        </w:rPr>
      </w:pPr>
      <w:r w:rsidRPr="00F97055">
        <w:rPr>
          <w:rFonts w:ascii="Calibri" w:eastAsia="Times New Roman" w:hAnsi="Calibri" w:cs="Calibri"/>
          <w:b/>
          <w:bCs/>
          <w:color w:val="000000"/>
          <w:lang w:val="en-US"/>
        </w:rPr>
        <w:t>Abstract:</w:t>
      </w:r>
    </w:p>
    <w:p w14:paraId="3A80C9E9" w14:textId="77777777" w:rsidR="00DF5F8D" w:rsidRPr="00E8372E" w:rsidRDefault="00DF5F8D" w:rsidP="00DF5F8D">
      <w:pPr>
        <w:spacing w:line="240" w:lineRule="auto"/>
        <w:rPr>
          <w:rFonts w:ascii="Calibri" w:eastAsia="Times New Roman" w:hAnsi="Calibri" w:cs="Calibri"/>
          <w:color w:val="000000"/>
          <w:lang w:val="en-US"/>
        </w:rPr>
      </w:pPr>
      <w:r w:rsidRPr="00E8372E">
        <w:rPr>
          <w:rFonts w:ascii="Calibri" w:eastAsia="Times New Roman" w:hAnsi="Calibri" w:cs="Calibri"/>
          <w:color w:val="000000"/>
          <w:lang w:val="en-US"/>
        </w:rPr>
        <w:t xml:space="preserve">There is limited information on the prevalence and etiology of urolithiasis, although it is considered a common condition in chelonians. Several hypotheses regarding urolith formation in chelonians have been proposed, but none has been tested by epidemiological research. The objective of this study was to evaluate the </w:t>
      </w:r>
      <w:r w:rsidRPr="00E8372E">
        <w:rPr>
          <w:rFonts w:ascii="Calibri" w:eastAsia="Times New Roman" w:hAnsi="Calibri" w:cs="Calibri"/>
          <w:b/>
          <w:bCs/>
          <w:color w:val="000000"/>
          <w:lang w:val="en-US"/>
        </w:rPr>
        <w:t xml:space="preserve">prevalence of urolithiasis in </w:t>
      </w:r>
      <w:proofErr w:type="gramStart"/>
      <w:r w:rsidRPr="00E8372E">
        <w:rPr>
          <w:rFonts w:ascii="Calibri" w:eastAsia="Times New Roman" w:hAnsi="Calibri" w:cs="Calibri"/>
          <w:b/>
          <w:bCs/>
          <w:color w:val="000000"/>
          <w:lang w:val="en-US"/>
        </w:rPr>
        <w:t>a large number of</w:t>
      </w:r>
      <w:proofErr w:type="gramEnd"/>
      <w:r w:rsidRPr="00E8372E">
        <w:rPr>
          <w:rFonts w:ascii="Calibri" w:eastAsia="Times New Roman" w:hAnsi="Calibri" w:cs="Calibri"/>
          <w:b/>
          <w:bCs/>
          <w:color w:val="000000"/>
          <w:lang w:val="en-US"/>
        </w:rPr>
        <w:t xml:space="preserve"> chelonians</w:t>
      </w:r>
      <w:r w:rsidRPr="00E8372E">
        <w:rPr>
          <w:rFonts w:ascii="Calibri" w:eastAsia="Times New Roman" w:hAnsi="Calibri" w:cs="Calibri"/>
          <w:color w:val="000000"/>
          <w:lang w:val="en-US"/>
        </w:rPr>
        <w:t xml:space="preserve"> and to evaluate the </w:t>
      </w:r>
      <w:r w:rsidRPr="00E8372E">
        <w:rPr>
          <w:rFonts w:ascii="Calibri" w:eastAsia="Times New Roman" w:hAnsi="Calibri" w:cs="Calibri"/>
          <w:b/>
          <w:bCs/>
          <w:color w:val="000000"/>
          <w:lang w:val="en-US"/>
        </w:rPr>
        <w:t>association between housing and dietary conditions and urolithiasis in African spurred tortoises (</w:t>
      </w:r>
      <w:proofErr w:type="spellStart"/>
      <w:r w:rsidRPr="00E8372E">
        <w:rPr>
          <w:rFonts w:ascii="Calibri" w:eastAsia="Times New Roman" w:hAnsi="Calibri" w:cs="Calibri"/>
          <w:b/>
          <w:bCs/>
          <w:i/>
          <w:iCs/>
          <w:color w:val="000000"/>
          <w:lang w:val="en-US"/>
        </w:rPr>
        <w:t>Centrochelys</w:t>
      </w:r>
      <w:proofErr w:type="spellEnd"/>
      <w:r w:rsidRPr="00E8372E">
        <w:rPr>
          <w:rFonts w:ascii="Calibri" w:eastAsia="Times New Roman" w:hAnsi="Calibri" w:cs="Calibri"/>
          <w:b/>
          <w:bCs/>
          <w:i/>
          <w:iCs/>
          <w:color w:val="000000"/>
          <w:lang w:val="en-US"/>
        </w:rPr>
        <w:t xml:space="preserve"> </w:t>
      </w:r>
      <w:proofErr w:type="spellStart"/>
      <w:r w:rsidRPr="00E8372E">
        <w:rPr>
          <w:rFonts w:ascii="Calibri" w:eastAsia="Times New Roman" w:hAnsi="Calibri" w:cs="Calibri"/>
          <w:b/>
          <w:bCs/>
          <w:i/>
          <w:iCs/>
          <w:color w:val="000000"/>
          <w:lang w:val="en-US"/>
        </w:rPr>
        <w:t>sulcata</w:t>
      </w:r>
      <w:proofErr w:type="spellEnd"/>
      <w:r w:rsidRPr="00E8372E">
        <w:rPr>
          <w:rFonts w:ascii="Calibri" w:eastAsia="Times New Roman" w:hAnsi="Calibri" w:cs="Calibri"/>
          <w:b/>
          <w:bCs/>
          <w:color w:val="000000"/>
          <w:lang w:val="en-US"/>
        </w:rPr>
        <w:t>)</w:t>
      </w:r>
      <w:r w:rsidRPr="00E8372E">
        <w:rPr>
          <w:rFonts w:ascii="Calibri" w:eastAsia="Times New Roman" w:hAnsi="Calibri" w:cs="Calibri"/>
          <w:color w:val="000000"/>
          <w:lang w:val="en-US"/>
        </w:rPr>
        <w:t xml:space="preserve">. Records of all client-owned chelonians that underwent radiographs at two institutions were extracted. Univariable and multivariable logistic regression models were built to explore associations between the presence of urolithiasis and husbandry variables. </w:t>
      </w:r>
      <w:r w:rsidRPr="00E8372E">
        <w:rPr>
          <w:rFonts w:ascii="Calibri" w:eastAsia="Times New Roman" w:hAnsi="Calibri" w:cs="Calibri"/>
          <w:b/>
          <w:bCs/>
          <w:color w:val="000000"/>
          <w:lang w:val="en-US"/>
        </w:rPr>
        <w:t>Prevalence of urolithiasis was 4.4%</w:t>
      </w:r>
      <w:r w:rsidRPr="00E8372E">
        <w:rPr>
          <w:rFonts w:ascii="Calibri" w:eastAsia="Times New Roman" w:hAnsi="Calibri" w:cs="Calibri"/>
          <w:color w:val="000000"/>
          <w:lang w:val="en-US"/>
        </w:rPr>
        <w:t xml:space="preserve"> (95% confidence interval [CI]: 3.3–5.9%; 46/1,033) among all chelonians. </w:t>
      </w:r>
      <w:r w:rsidRPr="00E8372E">
        <w:rPr>
          <w:rFonts w:ascii="Calibri" w:eastAsia="Times New Roman" w:hAnsi="Calibri" w:cs="Calibri"/>
          <w:b/>
          <w:bCs/>
          <w:color w:val="000000"/>
          <w:lang w:val="en-US"/>
        </w:rPr>
        <w:t>Terrestrial chelonians had 64 times the odds</w:t>
      </w:r>
      <w:r w:rsidRPr="00E8372E">
        <w:rPr>
          <w:rFonts w:ascii="Calibri" w:eastAsia="Times New Roman" w:hAnsi="Calibri" w:cs="Calibri"/>
          <w:color w:val="000000"/>
          <w:lang w:val="en-US"/>
        </w:rPr>
        <w:t xml:space="preserve"> (odds ratio [OR]: 64.2; 95% CI: 15.4–266.6; P &lt; 0.001) of </w:t>
      </w:r>
      <w:r w:rsidRPr="00E8372E">
        <w:rPr>
          <w:rFonts w:ascii="Calibri" w:eastAsia="Times New Roman" w:hAnsi="Calibri" w:cs="Calibri"/>
          <w:color w:val="000000"/>
          <w:lang w:val="en-US"/>
        </w:rPr>
        <w:lastRenderedPageBreak/>
        <w:t xml:space="preserve">presenting urolithiasis </w:t>
      </w:r>
      <w:r w:rsidRPr="00E8372E">
        <w:rPr>
          <w:rFonts w:ascii="Calibri" w:eastAsia="Times New Roman" w:hAnsi="Calibri" w:cs="Calibri"/>
          <w:b/>
          <w:bCs/>
          <w:color w:val="000000"/>
          <w:lang w:val="en-US"/>
        </w:rPr>
        <w:t>compared with aquatic chelonians. African spurred tortoises had 22 times the odds</w:t>
      </w:r>
      <w:r w:rsidRPr="00E8372E">
        <w:rPr>
          <w:rFonts w:ascii="Calibri" w:eastAsia="Times New Roman" w:hAnsi="Calibri" w:cs="Calibri"/>
          <w:color w:val="000000"/>
          <w:lang w:val="en-US"/>
        </w:rPr>
        <w:t xml:space="preserve"> (OR: 22.3; 95% CI: 7.7–64.5; P &lt; 0.001) of presenting urolithiasis </w:t>
      </w:r>
      <w:r w:rsidRPr="00E8372E">
        <w:rPr>
          <w:rFonts w:ascii="Calibri" w:eastAsia="Times New Roman" w:hAnsi="Calibri" w:cs="Calibri"/>
          <w:b/>
          <w:bCs/>
          <w:color w:val="000000"/>
          <w:lang w:val="en-US"/>
        </w:rPr>
        <w:t>compared with other terrestrial chelonians. African spurred tortoises living in a confined indoor area had 3 times the odds of presenting urolithiasis compared with the tortoises living outdoors</w:t>
      </w:r>
      <w:r w:rsidRPr="00E8372E">
        <w:rPr>
          <w:rFonts w:ascii="Calibri" w:eastAsia="Times New Roman" w:hAnsi="Calibri" w:cs="Calibri"/>
          <w:color w:val="000000"/>
          <w:lang w:val="en-US"/>
        </w:rPr>
        <w:t xml:space="preserve"> (OR: 3.01; 95% CI: 1.06–8.55; P = 0.038), and </w:t>
      </w:r>
      <w:r w:rsidRPr="00E8372E">
        <w:rPr>
          <w:rFonts w:ascii="Calibri" w:eastAsia="Times New Roman" w:hAnsi="Calibri" w:cs="Calibri"/>
          <w:b/>
          <w:bCs/>
          <w:color w:val="000000"/>
          <w:lang w:val="en-US"/>
        </w:rPr>
        <w:t>African spurred tortoises that were not fed any fruit had 0.31 times the odds of presenting urolithiasis compared with the tortoises fed fruit</w:t>
      </w:r>
      <w:r w:rsidRPr="00E8372E">
        <w:rPr>
          <w:rFonts w:ascii="Calibri" w:eastAsia="Times New Roman" w:hAnsi="Calibri" w:cs="Calibri"/>
          <w:color w:val="000000"/>
          <w:lang w:val="en-US"/>
        </w:rPr>
        <w:t xml:space="preserve"> (OR: 0.31; 95% CI: 0.10–0.99; P = 0.049). Certain chelonians in captivity are at higher risk than others of suffering urolithiasis. African spurred tortoises in a confined indoor area had the highest risk of developing urolithiasis. As a precaution, </w:t>
      </w:r>
      <w:r w:rsidRPr="00E8372E">
        <w:rPr>
          <w:rFonts w:ascii="Calibri" w:eastAsia="Times New Roman" w:hAnsi="Calibri" w:cs="Calibri"/>
          <w:b/>
          <w:bCs/>
          <w:color w:val="000000"/>
          <w:lang w:val="en-US"/>
        </w:rPr>
        <w:t>avoiding fruit should be considered in the diet of African spurred tortoises.</w:t>
      </w:r>
    </w:p>
    <w:p w14:paraId="79CED4F2" w14:textId="77777777" w:rsidR="00DF5F8D" w:rsidRPr="00F97055" w:rsidRDefault="00DF5F8D" w:rsidP="00DF5F8D">
      <w:pPr>
        <w:spacing w:line="240" w:lineRule="auto"/>
        <w:rPr>
          <w:rFonts w:ascii="Times New Roman" w:eastAsia="Times New Roman" w:hAnsi="Times New Roman" w:cs="Times New Roman"/>
          <w:sz w:val="24"/>
          <w:szCs w:val="24"/>
          <w:lang w:val="en-US"/>
        </w:rPr>
      </w:pPr>
    </w:p>
    <w:p w14:paraId="0ECC4EF0" w14:textId="77777777" w:rsidR="00DF5F8D" w:rsidRDefault="00DF5F8D" w:rsidP="00DF5F8D">
      <w:pPr>
        <w:rPr>
          <w:rFonts w:ascii="Calibri" w:eastAsia="Times New Roman" w:hAnsi="Calibri" w:cs="Calibri"/>
          <w:b/>
          <w:bCs/>
          <w:color w:val="000000"/>
          <w:lang w:val="en-US"/>
        </w:rPr>
      </w:pPr>
      <w:r w:rsidRPr="00F97055">
        <w:rPr>
          <w:rFonts w:ascii="Calibri" w:eastAsia="Times New Roman" w:hAnsi="Calibri" w:cs="Calibri"/>
          <w:b/>
          <w:bCs/>
          <w:color w:val="000000"/>
          <w:lang w:val="en-US"/>
        </w:rPr>
        <w:t>Key Points:</w:t>
      </w:r>
    </w:p>
    <w:p w14:paraId="4EFD0CF3"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Terrestrial chelonians had increased odds of urolithiasis compared to aquatic chelonians</w:t>
      </w:r>
    </w:p>
    <w:p w14:paraId="5CE6B638"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African spurred tortoises had increased odds of urolithiasis compared to other terrestrial chelonians</w:t>
      </w:r>
    </w:p>
    <w:p w14:paraId="19E96A6C"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African spurred tortoises living indoors had increased odds of urolithiasis compared to animals living outdoors</w:t>
      </w:r>
    </w:p>
    <w:p w14:paraId="2AA4702D"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African spurred tortoises NOT fed fruit had decreased odds of urolithiasis compared to African spurred tortoises fed fruit</w:t>
      </w:r>
    </w:p>
    <w:p w14:paraId="01703802" w14:textId="77777777" w:rsidR="00DF5F8D" w:rsidRPr="00E8372E" w:rsidRDefault="00DF5F8D" w:rsidP="00DF5F8D">
      <w:pPr>
        <w:pStyle w:val="ListParagraph"/>
        <w:numPr>
          <w:ilvl w:val="1"/>
          <w:numId w:val="11"/>
        </w:numPr>
        <w:spacing w:after="0"/>
        <w:rPr>
          <w:rFonts w:ascii="Calibri" w:eastAsia="Times New Roman" w:hAnsi="Calibri" w:cs="Calibri"/>
          <w:color w:val="000000"/>
        </w:rPr>
      </w:pPr>
      <w:r w:rsidRPr="00E8372E">
        <w:rPr>
          <w:rFonts w:ascii="Calibri" w:eastAsia="Times New Roman" w:hAnsi="Calibri" w:cs="Calibri"/>
          <w:color w:val="000000"/>
        </w:rPr>
        <w:t>In mammals, fructose metabolism produces urate as a byproduct.</w:t>
      </w:r>
    </w:p>
    <w:p w14:paraId="4921470B"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No significant association between urolithiasis and dietary hay, pellets, vegetables, calcium supplementation, sun exposure, UVB exposure, soaking</w:t>
      </w:r>
    </w:p>
    <w:p w14:paraId="1CAF522F" w14:textId="77777777" w:rsidR="00DF5F8D" w:rsidRPr="00E8372E" w:rsidRDefault="00DF5F8D" w:rsidP="00DF5F8D">
      <w:pPr>
        <w:pStyle w:val="ListParagraph"/>
        <w:numPr>
          <w:ilvl w:val="0"/>
          <w:numId w:val="11"/>
        </w:numPr>
        <w:spacing w:after="0"/>
        <w:rPr>
          <w:rFonts w:ascii="Calibri" w:eastAsia="Times New Roman" w:hAnsi="Calibri" w:cs="Calibri"/>
          <w:b/>
          <w:bCs/>
          <w:color w:val="000000"/>
        </w:rPr>
      </w:pPr>
      <w:r>
        <w:rPr>
          <w:rFonts w:ascii="Calibri" w:eastAsia="Times New Roman" w:hAnsi="Calibri" w:cs="Calibri"/>
          <w:color w:val="000000"/>
        </w:rPr>
        <w:t>“T</w:t>
      </w:r>
      <w:r w:rsidRPr="00E8372E">
        <w:rPr>
          <w:rFonts w:ascii="Calibri" w:eastAsia="Times New Roman" w:hAnsi="Calibri" w:cs="Calibri"/>
          <w:color w:val="000000"/>
        </w:rPr>
        <w:t>readmill walking could be instituted in tortoises at risk of developing urolithiasis to increase the turnover of urine in the urinary bladder.</w:t>
      </w:r>
      <w:r>
        <w:rPr>
          <w:rFonts w:ascii="Calibri" w:eastAsia="Times New Roman" w:hAnsi="Calibri" w:cs="Calibri"/>
          <w:color w:val="000000"/>
        </w:rPr>
        <w:t>”</w:t>
      </w:r>
    </w:p>
    <w:p w14:paraId="0CF08435" w14:textId="77777777" w:rsidR="00DF5F8D" w:rsidRPr="00E8372E" w:rsidRDefault="00DF5F8D" w:rsidP="00DF5F8D">
      <w:pPr>
        <w:pStyle w:val="ListParagraph"/>
        <w:numPr>
          <w:ilvl w:val="0"/>
          <w:numId w:val="11"/>
        </w:numPr>
        <w:spacing w:after="0"/>
        <w:rPr>
          <w:rFonts w:ascii="Calibri" w:eastAsia="Times New Roman" w:hAnsi="Calibri" w:cs="Calibri"/>
          <w:color w:val="000000"/>
        </w:rPr>
      </w:pPr>
      <w:r w:rsidRPr="00E8372E">
        <w:rPr>
          <w:rFonts w:ascii="Calibri" w:eastAsia="Times New Roman" w:hAnsi="Calibri" w:cs="Calibri"/>
          <w:color w:val="000000"/>
        </w:rPr>
        <w:t>Uric acid in urine supersaturates at pH &lt; 5.5, whereas at a pH &gt; 6.5 most uric acid is in the form of urates</w:t>
      </w:r>
      <w:r>
        <w:rPr>
          <w:rFonts w:ascii="Calibri" w:eastAsia="Times New Roman" w:hAnsi="Calibri" w:cs="Calibri"/>
          <w:color w:val="000000"/>
        </w:rPr>
        <w:t xml:space="preserve">; </w:t>
      </w:r>
      <w:r w:rsidRPr="00E8372E">
        <w:rPr>
          <w:rFonts w:ascii="Calibri" w:eastAsia="Times New Roman" w:hAnsi="Calibri" w:cs="Calibri"/>
          <w:color w:val="000000"/>
        </w:rPr>
        <w:t>both a pH lower than normal and a pH higher than normal could be responsible for urolithiasis in chelonians.</w:t>
      </w:r>
    </w:p>
    <w:p w14:paraId="020CA266" w14:textId="77777777" w:rsidR="00DF5F8D" w:rsidRPr="00E8372E" w:rsidRDefault="00DF5F8D" w:rsidP="00DF5F8D">
      <w:pPr>
        <w:rPr>
          <w:rFonts w:ascii="Calibri" w:eastAsia="Calibri" w:hAnsi="Calibri" w:cs="Calibri"/>
        </w:rPr>
      </w:pPr>
    </w:p>
    <w:p w14:paraId="39BEDEEC" w14:textId="77777777" w:rsidR="00DF5F8D" w:rsidRDefault="00DF5F8D" w:rsidP="00DF5F8D">
      <w:pPr>
        <w:spacing w:line="240" w:lineRule="auto"/>
        <w:rPr>
          <w:rFonts w:ascii="Calibri" w:eastAsia="Times New Roman" w:hAnsi="Calibri" w:cs="Calibri"/>
          <w:b/>
          <w:bCs/>
          <w:color w:val="000000"/>
          <w:lang w:val="en-US"/>
        </w:rPr>
      </w:pPr>
      <w:r w:rsidRPr="00F97055">
        <w:rPr>
          <w:rFonts w:ascii="Calibri" w:eastAsia="Times New Roman" w:hAnsi="Calibri" w:cs="Calibri"/>
          <w:b/>
          <w:bCs/>
          <w:color w:val="000000"/>
          <w:lang w:val="en-US"/>
        </w:rPr>
        <w:t>Take-Home Message:</w:t>
      </w:r>
    </w:p>
    <w:p w14:paraId="6A7AE298" w14:textId="77777777" w:rsidR="00DF5F8D" w:rsidRDefault="00DF5F8D" w:rsidP="00DF5F8D">
      <w:pPr>
        <w:rPr>
          <w:rFonts w:ascii="Calibri" w:eastAsia="Calibri" w:hAnsi="Calibri" w:cs="Calibri"/>
        </w:rPr>
      </w:pPr>
      <w:r w:rsidRPr="00E8372E">
        <w:rPr>
          <w:rFonts w:ascii="Calibri" w:eastAsia="Calibri" w:hAnsi="Calibri" w:cs="Calibri"/>
        </w:rPr>
        <w:t>Terrestrial chelonians had increased odds of urolithiasis compared to aquatic chelonians</w:t>
      </w:r>
      <w:r>
        <w:rPr>
          <w:rFonts w:ascii="Calibri" w:eastAsia="Calibri" w:hAnsi="Calibri" w:cs="Calibri"/>
        </w:rPr>
        <w:t xml:space="preserve">. </w:t>
      </w:r>
      <w:r w:rsidRPr="00E8372E">
        <w:rPr>
          <w:rFonts w:ascii="Calibri" w:eastAsia="Calibri" w:hAnsi="Calibri" w:cs="Calibri"/>
        </w:rPr>
        <w:t>African spurred tortoises had increased odds of urolithiasis compared to other terrestrial chelonians</w:t>
      </w:r>
      <w:r>
        <w:rPr>
          <w:rFonts w:ascii="Calibri" w:eastAsia="Calibri" w:hAnsi="Calibri" w:cs="Calibri"/>
        </w:rPr>
        <w:t xml:space="preserve">. African spurred tortoises housed inside and fed fruit at greater risk of urolithiasis. </w:t>
      </w:r>
    </w:p>
    <w:p w14:paraId="46CAA302" w14:textId="0753D06B" w:rsidR="00DF5F8D" w:rsidRDefault="00DF5F8D" w:rsidP="00DF5F8D"/>
    <w:p w14:paraId="66DC5552" w14:textId="77777777" w:rsidR="00DF5F8D" w:rsidRDefault="00DF5F8D" w:rsidP="00DF5F8D">
      <w:pPr>
        <w:spacing w:line="240" w:lineRule="auto"/>
        <w:jc w:val="right"/>
        <w:rPr>
          <w:rFonts w:ascii="Times New Roman" w:eastAsia="Times New Roman" w:hAnsi="Times New Roman" w:cs="Times New Roman"/>
          <w:i/>
          <w:iCs/>
          <w:color w:val="000000"/>
          <w:sz w:val="20"/>
          <w:szCs w:val="20"/>
        </w:rPr>
      </w:pPr>
      <w:r w:rsidRPr="006C16A6">
        <w:rPr>
          <w:rFonts w:ascii="Times New Roman" w:eastAsia="Times New Roman" w:hAnsi="Times New Roman" w:cs="Times New Roman"/>
          <w:i/>
          <w:iCs/>
          <w:color w:val="000000"/>
          <w:sz w:val="20"/>
          <w:szCs w:val="20"/>
        </w:rPr>
        <w:t>The Journal of Herpetological Medicine and Surgery, Volume 35, No. 2, 2025 pp. 108–112</w:t>
      </w:r>
    </w:p>
    <w:p w14:paraId="2DC22393" w14:textId="77777777" w:rsidR="00DF5F8D" w:rsidRPr="00565D64" w:rsidRDefault="00DF5F8D" w:rsidP="00DF5F8D">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0BDB90C1" w14:textId="77777777" w:rsidR="00DF5F8D" w:rsidRPr="00565D64" w:rsidRDefault="00DF5F8D" w:rsidP="00DF5F8D">
      <w:pPr>
        <w:spacing w:after="240" w:line="240" w:lineRule="auto"/>
        <w:rPr>
          <w:rFonts w:ascii="Times New Roman" w:eastAsia="Times New Roman" w:hAnsi="Times New Roman" w:cs="Times New Roman"/>
          <w:color w:val="000000"/>
          <w:sz w:val="24"/>
          <w:szCs w:val="24"/>
        </w:rPr>
      </w:pPr>
    </w:p>
    <w:p w14:paraId="014CE122" w14:textId="77777777" w:rsidR="00DF5F8D" w:rsidRDefault="00DF5F8D" w:rsidP="00DF5F8D">
      <w:pPr>
        <w:spacing w:line="240" w:lineRule="auto"/>
        <w:rPr>
          <w:rFonts w:ascii="Times New Roman" w:eastAsia="Times New Roman" w:hAnsi="Times New Roman" w:cs="Times New Roman"/>
          <w:color w:val="000000"/>
          <w:sz w:val="24"/>
          <w:szCs w:val="24"/>
        </w:rPr>
      </w:pPr>
      <w:r w:rsidRPr="006C16A6">
        <w:rPr>
          <w:rFonts w:ascii="Times New Roman" w:eastAsia="Times New Roman" w:hAnsi="Times New Roman" w:cs="Times New Roman"/>
          <w:color w:val="000000"/>
          <w:sz w:val="24"/>
          <w:szCs w:val="24"/>
        </w:rPr>
        <w:t xml:space="preserve">Comparison of Different Physiological Parameters for the Assessment of Hydration Status in Turtles of the Genus </w:t>
      </w:r>
      <w:r w:rsidRPr="006C16A6">
        <w:rPr>
          <w:rFonts w:ascii="Times New Roman" w:eastAsia="Times New Roman" w:hAnsi="Times New Roman" w:cs="Times New Roman"/>
          <w:i/>
          <w:iCs/>
          <w:color w:val="000000"/>
          <w:sz w:val="24"/>
          <w:szCs w:val="24"/>
        </w:rPr>
        <w:t>Trachemys</w:t>
      </w:r>
    </w:p>
    <w:p w14:paraId="7D657E7C" w14:textId="77777777" w:rsidR="00DF5F8D" w:rsidRDefault="00DF5F8D" w:rsidP="00DF5F8D">
      <w:pPr>
        <w:spacing w:line="240" w:lineRule="auto"/>
        <w:rPr>
          <w:rFonts w:ascii="Times New Roman" w:eastAsia="Times New Roman" w:hAnsi="Times New Roman" w:cs="Times New Roman"/>
          <w:color w:val="000000"/>
          <w:sz w:val="18"/>
          <w:szCs w:val="18"/>
        </w:rPr>
      </w:pPr>
      <w:r w:rsidRPr="006C16A6">
        <w:rPr>
          <w:rFonts w:ascii="Times New Roman" w:eastAsia="Times New Roman" w:hAnsi="Times New Roman" w:cs="Times New Roman"/>
          <w:color w:val="000000"/>
          <w:sz w:val="18"/>
          <w:szCs w:val="18"/>
        </w:rPr>
        <w:t xml:space="preserve">Oliver Baca-Montero, Daniel Alejandro Gomez </w:t>
      </w:r>
      <w:proofErr w:type="spellStart"/>
      <w:r w:rsidRPr="006C16A6">
        <w:rPr>
          <w:rFonts w:ascii="Times New Roman" w:eastAsia="Times New Roman" w:hAnsi="Times New Roman" w:cs="Times New Roman"/>
          <w:color w:val="000000"/>
          <w:sz w:val="18"/>
          <w:szCs w:val="18"/>
        </w:rPr>
        <w:t>Pizano</w:t>
      </w:r>
      <w:proofErr w:type="spellEnd"/>
      <w:r w:rsidRPr="006C16A6">
        <w:rPr>
          <w:rFonts w:ascii="Times New Roman" w:eastAsia="Times New Roman" w:hAnsi="Times New Roman" w:cs="Times New Roman"/>
          <w:color w:val="000000"/>
          <w:sz w:val="18"/>
          <w:szCs w:val="18"/>
        </w:rPr>
        <w:t>, Maria Guadalupe Sanchez Gonzalez</w:t>
      </w:r>
    </w:p>
    <w:p w14:paraId="39B25089" w14:textId="77777777" w:rsidR="00DF5F8D" w:rsidRPr="00565D64" w:rsidRDefault="00DF5F8D" w:rsidP="00DF5F8D">
      <w:pPr>
        <w:spacing w:line="240" w:lineRule="auto"/>
        <w:rPr>
          <w:rFonts w:ascii="Times New Roman" w:eastAsia="Times New Roman" w:hAnsi="Times New Roman" w:cs="Times New Roman"/>
          <w:color w:val="000000"/>
          <w:sz w:val="24"/>
          <w:szCs w:val="24"/>
        </w:rPr>
      </w:pPr>
    </w:p>
    <w:p w14:paraId="08C875F5" w14:textId="77777777" w:rsidR="00DF5F8D" w:rsidRDefault="00DF5F8D" w:rsidP="00DF5F8D">
      <w:pPr>
        <w:spacing w:line="240" w:lineRule="auto"/>
        <w:rPr>
          <w:rFonts w:ascii="Times New Roman" w:eastAsia="Times New Roman" w:hAnsi="Times New Roman" w:cs="Times New Roman"/>
          <w:color w:val="000000"/>
          <w:sz w:val="24"/>
          <w:szCs w:val="24"/>
        </w:rPr>
      </w:pPr>
      <w:r w:rsidRPr="00565D64">
        <w:rPr>
          <w:rFonts w:ascii="Times New Roman" w:eastAsia="Times New Roman" w:hAnsi="Times New Roman" w:cs="Times New Roman"/>
          <w:color w:val="000000"/>
          <w:sz w:val="20"/>
          <w:szCs w:val="20"/>
        </w:rPr>
        <w:t>Abstract:</w:t>
      </w:r>
      <w:r w:rsidRPr="00565D64">
        <w:rPr>
          <w:rFonts w:ascii="Times New Roman" w:eastAsia="Times New Roman" w:hAnsi="Times New Roman" w:cs="Times New Roman"/>
          <w:color w:val="000000"/>
          <w:sz w:val="16"/>
          <w:szCs w:val="16"/>
        </w:rPr>
        <w:t xml:space="preserve"> </w:t>
      </w:r>
      <w:r w:rsidRPr="006C16A6">
        <w:rPr>
          <w:rFonts w:ascii="Times New Roman" w:eastAsia="Times New Roman" w:hAnsi="Times New Roman" w:cs="Times New Roman"/>
          <w:color w:val="000000"/>
          <w:sz w:val="20"/>
          <w:szCs w:val="20"/>
        </w:rPr>
        <w:t xml:space="preserve">Because of their anatomical and physiological characteristics, and the limited published research on the subject, it is </w:t>
      </w:r>
      <w:r w:rsidRPr="006C16A6">
        <w:rPr>
          <w:rFonts w:ascii="Times New Roman" w:eastAsia="Times New Roman" w:hAnsi="Times New Roman" w:cs="Times New Roman"/>
          <w:b/>
          <w:bCs/>
          <w:color w:val="000000"/>
          <w:sz w:val="20"/>
          <w:szCs w:val="20"/>
        </w:rPr>
        <w:t>difficult to objectively determine the hydration status of reptiles</w:t>
      </w:r>
      <w:r w:rsidRPr="006C16A6">
        <w:rPr>
          <w:rFonts w:ascii="Times New Roman" w:eastAsia="Times New Roman" w:hAnsi="Times New Roman" w:cs="Times New Roman"/>
          <w:color w:val="000000"/>
          <w:sz w:val="20"/>
          <w:szCs w:val="20"/>
        </w:rPr>
        <w:t xml:space="preserve"> and consequently provide appropriate fluid therapy. Various clinical and laboratory parameters have been used as indicators of chelonian hydration status, such as the </w:t>
      </w:r>
      <w:r w:rsidRPr="006C16A6">
        <w:rPr>
          <w:rFonts w:ascii="Times New Roman" w:eastAsia="Times New Roman" w:hAnsi="Times New Roman" w:cs="Times New Roman"/>
          <w:b/>
          <w:bCs/>
          <w:color w:val="000000"/>
          <w:sz w:val="20"/>
          <w:szCs w:val="20"/>
        </w:rPr>
        <w:t xml:space="preserve">presence of saliva strands or hematocrit, but their correlation with actual hydration status has not been verified. </w:t>
      </w:r>
      <w:r w:rsidRPr="006C16A6">
        <w:rPr>
          <w:rFonts w:ascii="Times New Roman" w:eastAsia="Times New Roman" w:hAnsi="Times New Roman" w:cs="Times New Roman"/>
          <w:color w:val="000000"/>
          <w:sz w:val="20"/>
          <w:szCs w:val="20"/>
        </w:rPr>
        <w:t xml:space="preserve">The objective of this work was to determine whether there is a significant change in various physiological parameters in </w:t>
      </w:r>
      <w:r w:rsidRPr="006C16A6">
        <w:rPr>
          <w:rFonts w:ascii="Times New Roman" w:eastAsia="Times New Roman" w:hAnsi="Times New Roman" w:cs="Times New Roman"/>
          <w:i/>
          <w:iCs/>
          <w:color w:val="000000"/>
          <w:sz w:val="20"/>
          <w:szCs w:val="20"/>
        </w:rPr>
        <w:t>Trachemys</w:t>
      </w:r>
      <w:r w:rsidRPr="006C16A6">
        <w:rPr>
          <w:rFonts w:ascii="Times New Roman" w:eastAsia="Times New Roman" w:hAnsi="Times New Roman" w:cs="Times New Roman"/>
          <w:color w:val="000000"/>
          <w:sz w:val="20"/>
          <w:szCs w:val="20"/>
        </w:rPr>
        <w:t xml:space="preserve"> turtles exposed to a dehydration period. Fifteen </w:t>
      </w:r>
      <w:r w:rsidRPr="006C16A6">
        <w:rPr>
          <w:rFonts w:ascii="Times New Roman" w:eastAsia="Times New Roman" w:hAnsi="Times New Roman" w:cs="Times New Roman"/>
          <w:i/>
          <w:iCs/>
          <w:color w:val="000000"/>
          <w:sz w:val="20"/>
          <w:szCs w:val="20"/>
        </w:rPr>
        <w:t>Trachemys</w:t>
      </w:r>
      <w:r w:rsidRPr="006C16A6">
        <w:rPr>
          <w:rFonts w:ascii="Times New Roman" w:eastAsia="Times New Roman" w:hAnsi="Times New Roman" w:cs="Times New Roman"/>
          <w:color w:val="000000"/>
          <w:sz w:val="20"/>
          <w:szCs w:val="20"/>
        </w:rPr>
        <w:t xml:space="preserve"> </w:t>
      </w:r>
      <w:r w:rsidRPr="006C16A6">
        <w:rPr>
          <w:rFonts w:ascii="Times New Roman" w:eastAsia="Times New Roman" w:hAnsi="Times New Roman" w:cs="Times New Roman"/>
          <w:color w:val="000000"/>
          <w:sz w:val="20"/>
          <w:szCs w:val="20"/>
        </w:rPr>
        <w:lastRenderedPageBreak/>
        <w:t xml:space="preserve">spp. turtles were studied. A physical examination was performed on day 1, including </w:t>
      </w:r>
      <w:r w:rsidRPr="006C16A6">
        <w:rPr>
          <w:rFonts w:ascii="Times New Roman" w:eastAsia="Times New Roman" w:hAnsi="Times New Roman" w:cs="Times New Roman"/>
          <w:b/>
          <w:bCs/>
          <w:color w:val="000000"/>
          <w:sz w:val="20"/>
          <w:szCs w:val="20"/>
        </w:rPr>
        <w:t>skin turgor test (SK), eyeball position (EY), tear production (Schirmer tear test [STT]), mucosal moisture (MM), cornea moisture (MC), and body weight (BW).</w:t>
      </w:r>
      <w:r w:rsidRPr="006C16A6">
        <w:rPr>
          <w:rFonts w:ascii="Times New Roman" w:eastAsia="Times New Roman" w:hAnsi="Times New Roman" w:cs="Times New Roman"/>
          <w:color w:val="000000"/>
          <w:sz w:val="20"/>
          <w:szCs w:val="20"/>
        </w:rPr>
        <w:t xml:space="preserve"> Also, blood samples were collected to measure </w:t>
      </w:r>
      <w:r w:rsidRPr="006C16A6">
        <w:rPr>
          <w:rFonts w:ascii="Times New Roman" w:eastAsia="Times New Roman" w:hAnsi="Times New Roman" w:cs="Times New Roman"/>
          <w:b/>
          <w:bCs/>
          <w:color w:val="000000"/>
          <w:sz w:val="20"/>
          <w:szCs w:val="20"/>
        </w:rPr>
        <w:t>total solids (TS), uric acid (UA), total protein (TP), serum osmolarity (OS), and hematocrit (</w:t>
      </w:r>
      <w:proofErr w:type="spellStart"/>
      <w:r w:rsidRPr="006C16A6">
        <w:rPr>
          <w:rFonts w:ascii="Times New Roman" w:eastAsia="Times New Roman" w:hAnsi="Times New Roman" w:cs="Times New Roman"/>
          <w:b/>
          <w:bCs/>
          <w:color w:val="000000"/>
          <w:sz w:val="20"/>
          <w:szCs w:val="20"/>
        </w:rPr>
        <w:t>Hct</w:t>
      </w:r>
      <w:proofErr w:type="spellEnd"/>
      <w:r w:rsidRPr="006C16A6">
        <w:rPr>
          <w:rFonts w:ascii="Times New Roman" w:eastAsia="Times New Roman" w:hAnsi="Times New Roman" w:cs="Times New Roman"/>
          <w:b/>
          <w:bCs/>
          <w:color w:val="000000"/>
          <w:sz w:val="20"/>
          <w:szCs w:val="20"/>
        </w:rPr>
        <w:t>). Water intake was completely withheld for 10 days, and sampling and physical examination were repeated.</w:t>
      </w:r>
      <w:r w:rsidRPr="006C16A6">
        <w:rPr>
          <w:rFonts w:ascii="Times New Roman" w:eastAsia="Times New Roman" w:hAnsi="Times New Roman" w:cs="Times New Roman"/>
          <w:color w:val="000000"/>
          <w:sz w:val="20"/>
          <w:szCs w:val="20"/>
        </w:rPr>
        <w:t xml:space="preserve"> The </w:t>
      </w:r>
      <w:r w:rsidRPr="006C16A6">
        <w:rPr>
          <w:rFonts w:ascii="Times New Roman" w:eastAsia="Times New Roman" w:hAnsi="Times New Roman" w:cs="Times New Roman"/>
          <w:b/>
          <w:bCs/>
          <w:color w:val="000000"/>
          <w:sz w:val="20"/>
          <w:szCs w:val="20"/>
        </w:rPr>
        <w:t xml:space="preserve">OS, TS, TP, SK, EY, and BW differed significantly between days 1 and 10 </w:t>
      </w:r>
      <w:r w:rsidRPr="006C16A6">
        <w:rPr>
          <w:rFonts w:ascii="Times New Roman" w:eastAsia="Times New Roman" w:hAnsi="Times New Roman" w:cs="Times New Roman"/>
          <w:color w:val="000000"/>
          <w:sz w:val="20"/>
          <w:szCs w:val="20"/>
        </w:rPr>
        <w:t xml:space="preserve">(P </w:t>
      </w:r>
      <w:r>
        <w:rPr>
          <w:rFonts w:ascii="Times New Roman" w:eastAsia="Times New Roman" w:hAnsi="Times New Roman" w:cs="Times New Roman"/>
          <w:color w:val="000000"/>
          <w:sz w:val="20"/>
          <w:szCs w:val="20"/>
        </w:rPr>
        <w:t>&lt;</w:t>
      </w:r>
      <w:r w:rsidRPr="006C16A6">
        <w:rPr>
          <w:rFonts w:ascii="Times New Roman" w:eastAsia="Times New Roman" w:hAnsi="Times New Roman" w:cs="Times New Roman"/>
          <w:color w:val="000000"/>
          <w:sz w:val="20"/>
          <w:szCs w:val="20"/>
        </w:rPr>
        <w:t xml:space="preserve"> 0.05). Using these analytes in sick and dehydrated </w:t>
      </w:r>
      <w:r w:rsidRPr="006C16A6">
        <w:rPr>
          <w:rFonts w:ascii="Times New Roman" w:eastAsia="Times New Roman" w:hAnsi="Times New Roman" w:cs="Times New Roman"/>
          <w:i/>
          <w:iCs/>
          <w:color w:val="000000"/>
          <w:sz w:val="20"/>
          <w:szCs w:val="20"/>
        </w:rPr>
        <w:t>Trachemys</w:t>
      </w:r>
      <w:r w:rsidRPr="006C16A6">
        <w:rPr>
          <w:rFonts w:ascii="Times New Roman" w:eastAsia="Times New Roman" w:hAnsi="Times New Roman" w:cs="Times New Roman"/>
          <w:color w:val="000000"/>
          <w:sz w:val="20"/>
          <w:szCs w:val="20"/>
        </w:rPr>
        <w:t xml:space="preserve"> spp. turtles will allow development of a more precise scale for hydration status in these reptiles. By contrast, UA, </w:t>
      </w:r>
      <w:proofErr w:type="spellStart"/>
      <w:r w:rsidRPr="006C16A6">
        <w:rPr>
          <w:rFonts w:ascii="Times New Roman" w:eastAsia="Times New Roman" w:hAnsi="Times New Roman" w:cs="Times New Roman"/>
          <w:color w:val="000000"/>
          <w:sz w:val="20"/>
          <w:szCs w:val="20"/>
        </w:rPr>
        <w:t>Hct</w:t>
      </w:r>
      <w:proofErr w:type="spellEnd"/>
      <w:r w:rsidRPr="006C16A6">
        <w:rPr>
          <w:rFonts w:ascii="Times New Roman" w:eastAsia="Times New Roman" w:hAnsi="Times New Roman" w:cs="Times New Roman"/>
          <w:color w:val="000000"/>
          <w:sz w:val="20"/>
          <w:szCs w:val="20"/>
        </w:rPr>
        <w:t>, STT, MM, and MC did not differ significantly between the start and end of the study, indicating that these analytes may be less reliable indicators of hydration status for these species.</w:t>
      </w:r>
    </w:p>
    <w:p w14:paraId="0D61F7D9" w14:textId="77777777" w:rsidR="00DF5F8D" w:rsidRPr="006C16A6" w:rsidRDefault="00DF5F8D" w:rsidP="00DF5F8D">
      <w:pPr>
        <w:spacing w:line="240" w:lineRule="auto"/>
        <w:rPr>
          <w:rFonts w:ascii="Times New Roman" w:eastAsia="Times New Roman" w:hAnsi="Times New Roman" w:cs="Times New Roman"/>
          <w:color w:val="000000"/>
          <w:sz w:val="24"/>
          <w:szCs w:val="24"/>
        </w:rPr>
      </w:pPr>
    </w:p>
    <w:p w14:paraId="026DEA05" w14:textId="77777777" w:rsidR="00DF5F8D" w:rsidRDefault="00DF5F8D" w:rsidP="00DF5F8D">
      <w:pPr>
        <w:spacing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Summary</w:t>
      </w:r>
      <w:r w:rsidRPr="00565D64">
        <w:rPr>
          <w:rFonts w:ascii="Times New Roman" w:eastAsia="Times New Roman" w:hAnsi="Times New Roman" w:cs="Times New Roman"/>
          <w:b/>
          <w:bCs/>
          <w:color w:val="000000"/>
          <w:sz w:val="20"/>
          <w:szCs w:val="20"/>
        </w:rPr>
        <w:t>:</w:t>
      </w:r>
    </w:p>
    <w:p w14:paraId="4DB77F68" w14:textId="77777777" w:rsidR="00DF5F8D"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sidRPr="006C16A6">
        <w:rPr>
          <w:rFonts w:ascii="Times New Roman" w:eastAsia="Times New Roman" w:hAnsi="Times New Roman" w:cs="Times New Roman"/>
          <w:color w:val="000000"/>
          <w:sz w:val="20"/>
          <w:szCs w:val="20"/>
        </w:rPr>
        <w:t xml:space="preserve">N = 22 </w:t>
      </w:r>
      <w:r w:rsidRPr="006C16A6">
        <w:rPr>
          <w:rFonts w:ascii="Times New Roman" w:eastAsia="Times New Roman" w:hAnsi="Times New Roman" w:cs="Times New Roman"/>
          <w:i/>
          <w:iCs/>
          <w:color w:val="000000"/>
          <w:sz w:val="20"/>
          <w:szCs w:val="20"/>
        </w:rPr>
        <w:t>Trachemys</w:t>
      </w:r>
      <w:r w:rsidRPr="006C16A6">
        <w:rPr>
          <w:rFonts w:ascii="Times New Roman" w:eastAsia="Times New Roman" w:hAnsi="Times New Roman" w:cs="Times New Roman"/>
          <w:color w:val="000000"/>
          <w:sz w:val="20"/>
          <w:szCs w:val="20"/>
        </w:rPr>
        <w:t xml:space="preserve"> spp. turtles</w:t>
      </w:r>
    </w:p>
    <w:p w14:paraId="139F9E77" w14:textId="77777777" w:rsidR="00DF5F8D"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PE parameters evaluated: </w:t>
      </w:r>
      <w:r w:rsidRPr="006C16A6">
        <w:rPr>
          <w:rFonts w:ascii="Times New Roman" w:eastAsia="Times New Roman" w:hAnsi="Times New Roman" w:cs="Times New Roman"/>
          <w:color w:val="000000"/>
          <w:sz w:val="20"/>
          <w:szCs w:val="20"/>
        </w:rPr>
        <w:t>skin turgor test (SK), eyeball position (EY), tear production (Schirmer tear test [STT]), mucosal moisture (MM), cornea moisture (MC), and body weight (BW).</w:t>
      </w:r>
    </w:p>
    <w:p w14:paraId="6D8EF200" w14:textId="77777777" w:rsidR="00DF5F8D" w:rsidRDefault="00DF5F8D" w:rsidP="00DF5F8D">
      <w:pPr>
        <w:pStyle w:val="ListParagraph"/>
        <w:numPr>
          <w:ilvl w:val="1"/>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Significant difference: SK, EY, BW</w:t>
      </w:r>
    </w:p>
    <w:p w14:paraId="1FE6E1BD" w14:textId="77777777" w:rsidR="00DF5F8D"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Bloodwork parameters evaluated: </w:t>
      </w:r>
      <w:r w:rsidRPr="006C16A6">
        <w:rPr>
          <w:rFonts w:ascii="Times New Roman" w:eastAsia="Times New Roman" w:hAnsi="Times New Roman" w:cs="Times New Roman"/>
          <w:color w:val="000000"/>
          <w:sz w:val="20"/>
          <w:szCs w:val="20"/>
        </w:rPr>
        <w:t>total solids (TS), uric acid (UA), total protein (TP), serum osmolarity (OS), and hematocrit (</w:t>
      </w:r>
      <w:proofErr w:type="spellStart"/>
      <w:r w:rsidRPr="006C16A6">
        <w:rPr>
          <w:rFonts w:ascii="Times New Roman" w:eastAsia="Times New Roman" w:hAnsi="Times New Roman" w:cs="Times New Roman"/>
          <w:color w:val="000000"/>
          <w:sz w:val="20"/>
          <w:szCs w:val="20"/>
        </w:rPr>
        <w:t>Hct</w:t>
      </w:r>
      <w:proofErr w:type="spellEnd"/>
      <w:r w:rsidRPr="006C16A6">
        <w:rPr>
          <w:rFonts w:ascii="Times New Roman" w:eastAsia="Times New Roman" w:hAnsi="Times New Roman" w:cs="Times New Roman"/>
          <w:color w:val="000000"/>
          <w:sz w:val="20"/>
          <w:szCs w:val="20"/>
        </w:rPr>
        <w:t>).</w:t>
      </w:r>
    </w:p>
    <w:p w14:paraId="776ECD53" w14:textId="77777777" w:rsidR="00DF5F8D" w:rsidRDefault="00DF5F8D" w:rsidP="00DF5F8D">
      <w:pPr>
        <w:pStyle w:val="ListParagraph"/>
        <w:numPr>
          <w:ilvl w:val="1"/>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Significant difference: OS, TS, TP</w:t>
      </w:r>
    </w:p>
    <w:p w14:paraId="70C7D5CC" w14:textId="77777777" w:rsidR="00DF5F8D"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Water withheld for 10 </w:t>
      </w:r>
      <w:proofErr w:type="gramStart"/>
      <w:r>
        <w:rPr>
          <w:rFonts w:ascii="Times New Roman" w:eastAsia="Times New Roman" w:hAnsi="Times New Roman" w:cs="Times New Roman"/>
          <w:color w:val="000000"/>
          <w:sz w:val="20"/>
          <w:szCs w:val="20"/>
        </w:rPr>
        <w:t>days,</w:t>
      </w:r>
      <w:proofErr w:type="gramEnd"/>
      <w:r>
        <w:rPr>
          <w:rFonts w:ascii="Times New Roman" w:eastAsia="Times New Roman" w:hAnsi="Times New Roman" w:cs="Times New Roman"/>
          <w:color w:val="000000"/>
          <w:sz w:val="20"/>
          <w:szCs w:val="20"/>
        </w:rPr>
        <w:t xml:space="preserve"> testing repeated to evaluate for SD in the aforementioned parameters.</w:t>
      </w:r>
    </w:p>
    <w:p w14:paraId="3D61DBA3" w14:textId="77777777" w:rsidR="00DF5F8D"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Increase in OS was used as gold standard test of dehydration, </w:t>
      </w:r>
      <w:r w:rsidRPr="006C16A6">
        <w:rPr>
          <w:rFonts w:ascii="Times New Roman" w:eastAsia="Times New Roman" w:hAnsi="Times New Roman" w:cs="Times New Roman"/>
          <w:color w:val="000000"/>
          <w:sz w:val="20"/>
          <w:szCs w:val="20"/>
        </w:rPr>
        <w:t xml:space="preserve">describes the ratio between dissolved substances and solvents in serum. </w:t>
      </w:r>
    </w:p>
    <w:p w14:paraId="6E33BEAC" w14:textId="77777777" w:rsidR="00DF5F8D" w:rsidRDefault="00DF5F8D" w:rsidP="00DF5F8D">
      <w:pPr>
        <w:pStyle w:val="ListParagraph"/>
        <w:numPr>
          <w:ilvl w:val="1"/>
          <w:numId w:val="3"/>
        </w:numPr>
        <w:spacing w:after="0" w:line="240" w:lineRule="auto"/>
        <w:rPr>
          <w:rFonts w:ascii="Times New Roman" w:eastAsia="Times New Roman" w:hAnsi="Times New Roman" w:cs="Times New Roman"/>
          <w:color w:val="000000"/>
          <w:sz w:val="20"/>
          <w:szCs w:val="20"/>
        </w:rPr>
      </w:pPr>
      <w:r w:rsidRPr="006C16A6">
        <w:rPr>
          <w:rFonts w:ascii="Times New Roman" w:eastAsia="Times New Roman" w:hAnsi="Times New Roman" w:cs="Times New Roman"/>
          <w:color w:val="000000"/>
          <w:sz w:val="20"/>
          <w:szCs w:val="20"/>
        </w:rPr>
        <w:t>Unlike the above-mentioned analytes, it is less affected by concomitant diseases and malnutrition, making it more accurate for evaluating hydration</w:t>
      </w:r>
    </w:p>
    <w:p w14:paraId="5226D11B" w14:textId="77777777" w:rsidR="00DF5F8D" w:rsidRPr="006C16A6" w:rsidRDefault="00DF5F8D" w:rsidP="00DF5F8D">
      <w:pPr>
        <w:pStyle w:val="ListParagraph"/>
        <w:numPr>
          <w:ilvl w:val="0"/>
          <w:numId w:val="3"/>
        </w:numPr>
        <w:spacing w:after="0" w:line="240" w:lineRule="auto"/>
        <w:rPr>
          <w:rFonts w:ascii="Times New Roman" w:eastAsia="Times New Roman" w:hAnsi="Times New Roman" w:cs="Times New Roman"/>
          <w:color w:val="000000"/>
          <w:sz w:val="20"/>
          <w:szCs w:val="20"/>
        </w:rPr>
      </w:pPr>
      <w:r w:rsidRPr="003235B6">
        <w:rPr>
          <w:rFonts w:ascii="Times New Roman" w:eastAsia="Times New Roman" w:hAnsi="Times New Roman" w:cs="Times New Roman"/>
          <w:color w:val="000000"/>
          <w:sz w:val="20"/>
          <w:szCs w:val="20"/>
        </w:rPr>
        <w:t>MM is not an indicator of hydration status in turtles, nor is the presence or absence of saliva strands.</w:t>
      </w:r>
    </w:p>
    <w:p w14:paraId="3630E621" w14:textId="77777777" w:rsidR="00DF5F8D" w:rsidRDefault="00DF5F8D" w:rsidP="00DF5F8D">
      <w:pPr>
        <w:spacing w:line="240" w:lineRule="auto"/>
        <w:rPr>
          <w:rFonts w:ascii="Times New Roman" w:eastAsia="Times New Roman" w:hAnsi="Times New Roman" w:cs="Times New Roman"/>
          <w:b/>
          <w:bCs/>
          <w:color w:val="000000"/>
          <w:sz w:val="20"/>
          <w:szCs w:val="20"/>
        </w:rPr>
      </w:pPr>
    </w:p>
    <w:p w14:paraId="0CF95A5B" w14:textId="77777777" w:rsidR="00DF5F8D" w:rsidRDefault="00DF5F8D" w:rsidP="00DF5F8D">
      <w:pPr>
        <w:spacing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Take Home Point: </w:t>
      </w:r>
    </w:p>
    <w:p w14:paraId="550C0AC8" w14:textId="77777777" w:rsidR="00DF5F8D" w:rsidRDefault="00DF5F8D" w:rsidP="00DF5F8D">
      <w:pPr>
        <w:pStyle w:val="ListParagraph"/>
        <w:numPr>
          <w:ilvl w:val="0"/>
          <w:numId w:val="6"/>
        </w:numPr>
        <w:spacing w:after="0" w:line="240" w:lineRule="auto"/>
        <w:ind w:lef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w:t>
      </w:r>
      <w:r w:rsidRPr="004D4899">
        <w:rPr>
          <w:rFonts w:ascii="Times New Roman" w:eastAsia="Times New Roman" w:hAnsi="Times New Roman" w:cs="Times New Roman"/>
          <w:color w:val="000000"/>
          <w:sz w:val="20"/>
          <w:szCs w:val="20"/>
        </w:rPr>
        <w:t xml:space="preserve">kin turgor, eyeball recession, body weight, serum osmolarity, total solids, and total protein were significantly different in </w:t>
      </w:r>
      <w:r w:rsidRPr="004D4899">
        <w:rPr>
          <w:rFonts w:ascii="Times New Roman" w:eastAsia="Times New Roman" w:hAnsi="Times New Roman" w:cs="Times New Roman"/>
          <w:i/>
          <w:iCs/>
          <w:color w:val="000000"/>
          <w:sz w:val="20"/>
          <w:szCs w:val="20"/>
        </w:rPr>
        <w:t>Trachemys</w:t>
      </w:r>
      <w:r w:rsidRPr="004D4899">
        <w:rPr>
          <w:rFonts w:ascii="Times New Roman" w:eastAsia="Times New Roman" w:hAnsi="Times New Roman" w:cs="Times New Roman"/>
          <w:color w:val="000000"/>
          <w:sz w:val="20"/>
          <w:szCs w:val="20"/>
        </w:rPr>
        <w:t xml:space="preserve"> with water withheld for 10 days.</w:t>
      </w:r>
    </w:p>
    <w:p w14:paraId="4A067D90" w14:textId="77777777" w:rsidR="00DF5F8D" w:rsidRDefault="00DF5F8D" w:rsidP="00DF5F8D">
      <w:pPr>
        <w:pStyle w:val="ListParagraph"/>
        <w:numPr>
          <w:ilvl w:val="0"/>
          <w:numId w:val="6"/>
        </w:numPr>
        <w:spacing w:after="0" w:line="240" w:lineRule="auto"/>
        <w:ind w:lef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following were not significantly different, and thought to be unreliable indicators of hydration: STT, MM (mucosal strands), MC, UA, HCT</w:t>
      </w:r>
    </w:p>
    <w:p w14:paraId="760BCE28" w14:textId="77777777" w:rsidR="00DF5F8D" w:rsidRDefault="00DF5F8D" w:rsidP="00DF5F8D">
      <w:pPr>
        <w:spacing w:line="240" w:lineRule="auto"/>
        <w:rPr>
          <w:rFonts w:ascii="Times New Roman" w:eastAsia="Times New Roman" w:hAnsi="Times New Roman" w:cs="Times New Roman"/>
          <w:color w:val="000000"/>
          <w:sz w:val="20"/>
          <w:szCs w:val="20"/>
        </w:rPr>
      </w:pPr>
    </w:p>
    <w:p w14:paraId="3DF0D45C" w14:textId="77777777" w:rsidR="00DF5F8D" w:rsidRPr="004D4899" w:rsidRDefault="00DF5F8D" w:rsidP="00DF5F8D">
      <w:pPr>
        <w:spacing w:line="240" w:lineRule="auto"/>
        <w:rPr>
          <w:rFonts w:ascii="Times New Roman" w:eastAsia="Times New Roman" w:hAnsi="Times New Roman" w:cs="Times New Roman"/>
          <w:color w:val="000000"/>
          <w:sz w:val="20"/>
          <w:szCs w:val="20"/>
        </w:rPr>
      </w:pPr>
    </w:p>
    <w:p w14:paraId="5B0FA2C4" w14:textId="77777777" w:rsidR="00DF5F8D" w:rsidRPr="00565D64" w:rsidRDefault="00DF5F8D" w:rsidP="00DF5F8D">
      <w:r>
        <w:rPr>
          <w:noProof/>
        </w:rPr>
        <w:drawing>
          <wp:inline distT="0" distB="0" distL="0" distR="0" wp14:anchorId="01E40EC6" wp14:editId="2517860B">
            <wp:extent cx="6400800" cy="2974340"/>
            <wp:effectExtent l="0" t="0" r="0" b="0"/>
            <wp:docPr id="1180108741" name="Picture 18"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08741" name="Picture 1" descr="A table with numbers and number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400800" cy="2974340"/>
                    </a:xfrm>
                    <a:prstGeom prst="rect">
                      <a:avLst/>
                    </a:prstGeom>
                  </pic:spPr>
                </pic:pic>
              </a:graphicData>
            </a:graphic>
          </wp:inline>
        </w:drawing>
      </w:r>
    </w:p>
    <w:p w14:paraId="7A288D62" w14:textId="77777777" w:rsidR="00DF5F8D" w:rsidRDefault="00DF5F8D" w:rsidP="00B946F2">
      <w:pPr>
        <w:rPr>
          <w:rFonts w:ascii="Times New Roman" w:eastAsia="Times New Roman" w:hAnsi="Times New Roman" w:cs="Times New Roman"/>
        </w:rPr>
      </w:pPr>
    </w:p>
    <w:p w14:paraId="1D9133AC" w14:textId="77777777" w:rsidR="00DF5F8D" w:rsidRDefault="00DF5F8D" w:rsidP="00B946F2">
      <w:pPr>
        <w:rPr>
          <w:rFonts w:ascii="Times New Roman" w:eastAsia="Times New Roman" w:hAnsi="Times New Roman" w:cs="Times New Roman"/>
        </w:rPr>
      </w:pPr>
    </w:p>
    <w:p w14:paraId="254B14B9" w14:textId="77777777" w:rsidR="00DF5F8D" w:rsidRDefault="00DF5F8D" w:rsidP="00B946F2">
      <w:pPr>
        <w:rPr>
          <w:rFonts w:ascii="Times New Roman" w:eastAsia="Times New Roman" w:hAnsi="Times New Roman" w:cs="Times New Roman"/>
        </w:rPr>
      </w:pPr>
    </w:p>
    <w:p w14:paraId="5F76258A" w14:textId="77777777" w:rsidR="00DF5F8D" w:rsidRPr="00A47396" w:rsidRDefault="00DF5F8D" w:rsidP="00DF5F8D">
      <w:pPr>
        <w:spacing w:line="240" w:lineRule="auto"/>
        <w:rPr>
          <w:rFonts w:ascii="Calibri" w:hAnsi="Calibri" w:cs="Calibri"/>
          <w:b/>
          <w:bCs/>
        </w:rPr>
      </w:pPr>
      <w:r w:rsidRPr="00A47396">
        <w:rPr>
          <w:rFonts w:ascii="Calibri" w:hAnsi="Calibri" w:cs="Calibri"/>
          <w:b/>
          <w:bCs/>
        </w:rPr>
        <w:t>Shell lesion prevalence and bacteriome associations in threatened western pond turtles (</w:t>
      </w:r>
      <w:proofErr w:type="spellStart"/>
      <w:r w:rsidRPr="00A47396">
        <w:rPr>
          <w:rFonts w:ascii="Calibri" w:hAnsi="Calibri" w:cs="Calibri"/>
          <w:b/>
          <w:bCs/>
          <w:i/>
          <w:iCs/>
        </w:rPr>
        <w:t>Actinemys</w:t>
      </w:r>
      <w:proofErr w:type="spellEnd"/>
      <w:r w:rsidRPr="00A47396">
        <w:rPr>
          <w:rFonts w:ascii="Calibri" w:hAnsi="Calibri" w:cs="Calibri"/>
          <w:b/>
          <w:bCs/>
          <w:i/>
          <w:iCs/>
        </w:rPr>
        <w:t xml:space="preserve"> marmorata </w:t>
      </w:r>
      <w:r w:rsidRPr="00A47396">
        <w:rPr>
          <w:rFonts w:ascii="Calibri" w:hAnsi="Calibri" w:cs="Calibri"/>
          <w:b/>
          <w:bCs/>
        </w:rPr>
        <w:t xml:space="preserve">and </w:t>
      </w:r>
      <w:proofErr w:type="spellStart"/>
      <w:r w:rsidRPr="00A47396">
        <w:rPr>
          <w:rFonts w:ascii="Calibri" w:hAnsi="Calibri" w:cs="Calibri"/>
          <w:b/>
          <w:bCs/>
          <w:i/>
          <w:iCs/>
        </w:rPr>
        <w:t>Actinemys</w:t>
      </w:r>
      <w:proofErr w:type="spellEnd"/>
      <w:r w:rsidRPr="00A47396">
        <w:rPr>
          <w:rFonts w:ascii="Calibri" w:hAnsi="Calibri" w:cs="Calibri"/>
          <w:b/>
          <w:bCs/>
          <w:i/>
          <w:iCs/>
        </w:rPr>
        <w:t xml:space="preserve"> pallida</w:t>
      </w:r>
      <w:r w:rsidRPr="00A47396">
        <w:rPr>
          <w:rFonts w:ascii="Calibri" w:hAnsi="Calibri" w:cs="Calibri"/>
          <w:b/>
          <w:bCs/>
        </w:rPr>
        <w:t>) in California, USA</w:t>
      </w:r>
    </w:p>
    <w:p w14:paraId="528B0183" w14:textId="77777777" w:rsidR="00DF5F8D" w:rsidRDefault="00DF5F8D" w:rsidP="00DF5F8D">
      <w:pPr>
        <w:spacing w:line="240" w:lineRule="auto"/>
        <w:rPr>
          <w:rFonts w:ascii="Calibri" w:hAnsi="Calibri" w:cs="Calibri"/>
        </w:rPr>
      </w:pPr>
      <w:r w:rsidRPr="00A47396">
        <w:rPr>
          <w:rFonts w:ascii="Calibri" w:hAnsi="Calibri" w:cs="Calibri"/>
        </w:rPr>
        <w:t xml:space="preserve">Green N, Norwood A, </w:t>
      </w:r>
      <w:proofErr w:type="spellStart"/>
      <w:r w:rsidRPr="00A47396">
        <w:rPr>
          <w:rFonts w:ascii="Calibri" w:hAnsi="Calibri" w:cs="Calibri"/>
        </w:rPr>
        <w:t>Sidhe</w:t>
      </w:r>
      <w:proofErr w:type="spellEnd"/>
      <w:r w:rsidRPr="00A47396">
        <w:rPr>
          <w:rFonts w:ascii="Calibri" w:hAnsi="Calibri" w:cs="Calibri"/>
        </w:rPr>
        <w:t xml:space="preserve"> C, </w:t>
      </w:r>
      <w:proofErr w:type="spellStart"/>
      <w:r w:rsidRPr="00A47396">
        <w:rPr>
          <w:rFonts w:ascii="Calibri" w:hAnsi="Calibri" w:cs="Calibri"/>
        </w:rPr>
        <w:t>Mutlow</w:t>
      </w:r>
      <w:proofErr w:type="spellEnd"/>
      <w:r w:rsidRPr="00A47396">
        <w:rPr>
          <w:rFonts w:ascii="Calibri" w:hAnsi="Calibri" w:cs="Calibri"/>
        </w:rPr>
        <w:t xml:space="preserve"> A, </w:t>
      </w:r>
      <w:proofErr w:type="spellStart"/>
      <w:r w:rsidRPr="00A47396">
        <w:rPr>
          <w:rFonts w:ascii="Calibri" w:hAnsi="Calibri" w:cs="Calibri"/>
        </w:rPr>
        <w:t>Aymen</w:t>
      </w:r>
      <w:proofErr w:type="spellEnd"/>
      <w:r w:rsidRPr="00A47396">
        <w:rPr>
          <w:rFonts w:ascii="Calibri" w:hAnsi="Calibri" w:cs="Calibri"/>
        </w:rPr>
        <w:t xml:space="preserve"> J, Stiles R, Bushell J, Lim T, Culver E, Reeder N, Timmer M, Connelly F, Charbonneau J, McCall W, Koenig L, Stein M, Geist N, Lambert MR, Hernández-Gómez O. J </w:t>
      </w:r>
      <w:proofErr w:type="spellStart"/>
      <w:r w:rsidRPr="00A47396">
        <w:rPr>
          <w:rFonts w:ascii="Calibri" w:hAnsi="Calibri" w:cs="Calibri"/>
        </w:rPr>
        <w:t>Wildl</w:t>
      </w:r>
      <w:proofErr w:type="spellEnd"/>
      <w:r w:rsidRPr="00A47396">
        <w:rPr>
          <w:rFonts w:ascii="Calibri" w:hAnsi="Calibri" w:cs="Calibri"/>
        </w:rPr>
        <w:t xml:space="preserve"> Dis. 2025;61(3):574-</w:t>
      </w:r>
      <w:proofErr w:type="gramStart"/>
      <w:r w:rsidRPr="00A47396">
        <w:rPr>
          <w:rFonts w:ascii="Calibri" w:hAnsi="Calibri" w:cs="Calibri"/>
        </w:rPr>
        <w:t>586.—</w:t>
      </w:r>
      <w:proofErr w:type="gramEnd"/>
      <w:r w:rsidRPr="00A47396">
        <w:rPr>
          <w:rFonts w:ascii="Calibri" w:hAnsi="Calibri" w:cs="Calibri"/>
        </w:rPr>
        <w:t>Reviewed by ALD</w:t>
      </w:r>
    </w:p>
    <w:p w14:paraId="39C5EB63" w14:textId="77777777" w:rsidR="00DF5F8D" w:rsidRPr="00A47396" w:rsidRDefault="00DF5F8D" w:rsidP="00DF5F8D">
      <w:pPr>
        <w:spacing w:line="240" w:lineRule="auto"/>
        <w:rPr>
          <w:rFonts w:ascii="Calibri" w:hAnsi="Calibri" w:cs="Calibri"/>
        </w:rPr>
      </w:pPr>
    </w:p>
    <w:p w14:paraId="78E404E9" w14:textId="77777777" w:rsidR="00DF5F8D" w:rsidRDefault="00DF5F8D" w:rsidP="00DF5F8D">
      <w:pPr>
        <w:autoSpaceDE w:val="0"/>
        <w:autoSpaceDN w:val="0"/>
        <w:adjustRightInd w:val="0"/>
        <w:spacing w:line="240" w:lineRule="auto"/>
        <w:rPr>
          <w:rFonts w:ascii="Calibri" w:hAnsi="Calibri" w:cs="Calibri"/>
        </w:rPr>
      </w:pPr>
      <w:r w:rsidRPr="00A47396">
        <w:rPr>
          <w:rFonts w:ascii="Calibri" w:hAnsi="Calibri" w:cs="Calibri"/>
          <w:b/>
          <w:bCs/>
        </w:rPr>
        <w:t>Abstract</w:t>
      </w:r>
      <w:r w:rsidRPr="00A47396">
        <w:rPr>
          <w:rFonts w:ascii="Calibri" w:hAnsi="Calibri" w:cs="Calibri"/>
        </w:rPr>
        <w:t>: Bacteriome characterization studies can provide insights into the microbial ecology associated</w:t>
      </w:r>
      <w:r>
        <w:rPr>
          <w:rFonts w:ascii="Calibri" w:hAnsi="Calibri" w:cs="Calibri"/>
        </w:rPr>
        <w:t xml:space="preserve"> </w:t>
      </w:r>
      <w:r w:rsidRPr="00A47396">
        <w:rPr>
          <w:rFonts w:ascii="Calibri" w:hAnsi="Calibri" w:cs="Calibri"/>
        </w:rPr>
        <w:t xml:space="preserve">with disease. We collected </w:t>
      </w:r>
      <w:r w:rsidRPr="008859D7">
        <w:rPr>
          <w:rFonts w:ascii="Calibri" w:hAnsi="Calibri" w:cs="Calibri"/>
          <w:b/>
          <w:bCs/>
        </w:rPr>
        <w:t>western pond turtles (</w:t>
      </w:r>
      <w:proofErr w:type="spellStart"/>
      <w:r w:rsidRPr="008859D7">
        <w:rPr>
          <w:rFonts w:ascii="Calibri" w:hAnsi="Calibri" w:cs="Calibri"/>
          <w:b/>
          <w:bCs/>
          <w:i/>
          <w:iCs/>
        </w:rPr>
        <w:t>Actinemys</w:t>
      </w:r>
      <w:proofErr w:type="spellEnd"/>
      <w:r w:rsidRPr="008859D7">
        <w:rPr>
          <w:rFonts w:ascii="Calibri" w:hAnsi="Calibri" w:cs="Calibri"/>
          <w:b/>
          <w:bCs/>
          <w:i/>
          <w:iCs/>
        </w:rPr>
        <w:t xml:space="preserve"> marmorata</w:t>
      </w:r>
      <w:r w:rsidRPr="008859D7">
        <w:rPr>
          <w:rFonts w:ascii="Calibri" w:hAnsi="Calibri" w:cs="Calibri"/>
          <w:b/>
          <w:bCs/>
        </w:rPr>
        <w:t xml:space="preserve"> and </w:t>
      </w:r>
      <w:proofErr w:type="spellStart"/>
      <w:r w:rsidRPr="008859D7">
        <w:rPr>
          <w:rFonts w:ascii="Calibri" w:hAnsi="Calibri" w:cs="Calibri"/>
          <w:b/>
          <w:bCs/>
          <w:i/>
          <w:iCs/>
        </w:rPr>
        <w:t>Actinemys</w:t>
      </w:r>
      <w:proofErr w:type="spellEnd"/>
      <w:r w:rsidRPr="008859D7">
        <w:rPr>
          <w:rFonts w:ascii="Calibri" w:hAnsi="Calibri" w:cs="Calibri"/>
          <w:b/>
          <w:bCs/>
          <w:i/>
          <w:iCs/>
        </w:rPr>
        <w:t xml:space="preserve"> pallida</w:t>
      </w:r>
      <w:r w:rsidRPr="008859D7">
        <w:rPr>
          <w:rFonts w:ascii="Calibri" w:hAnsi="Calibri" w:cs="Calibri"/>
          <w:b/>
          <w:bCs/>
        </w:rPr>
        <w:t>) from six San Francisco Bay Area, California, USA, ponds; assessed their shells for lesions; and collected shell swabs and keratin scrape samples to evaluate bacteriome differences between the whole shell (swabs) and the affected tissues (scrapes).</w:t>
      </w:r>
      <w:r w:rsidRPr="00A47396">
        <w:rPr>
          <w:rFonts w:ascii="Calibri" w:hAnsi="Calibri" w:cs="Calibri"/>
        </w:rPr>
        <w:t xml:space="preserve"> We quantified shell lesion type and prevalence by using visual inspections of</w:t>
      </w:r>
      <w:r>
        <w:rPr>
          <w:rFonts w:ascii="Calibri" w:hAnsi="Calibri" w:cs="Calibri"/>
        </w:rPr>
        <w:t xml:space="preserve"> </w:t>
      </w:r>
      <w:r w:rsidRPr="00A47396">
        <w:rPr>
          <w:rFonts w:ascii="Calibri" w:hAnsi="Calibri" w:cs="Calibri"/>
        </w:rPr>
        <w:t xml:space="preserve">photographs collected of the plastron and carapace and then applied </w:t>
      </w:r>
      <w:r w:rsidRPr="008859D7">
        <w:rPr>
          <w:rFonts w:ascii="Calibri" w:hAnsi="Calibri" w:cs="Calibri"/>
          <w:b/>
          <w:bCs/>
        </w:rPr>
        <w:t>16S rRNA amplicon sequencing to characterize the associated bacteriomes of shells that observed pits, ulcerations, or no lesions</w:t>
      </w:r>
      <w:r w:rsidRPr="00A47396">
        <w:rPr>
          <w:rFonts w:ascii="Calibri" w:hAnsi="Calibri" w:cs="Calibri"/>
        </w:rPr>
        <w:t>. We</w:t>
      </w:r>
      <w:r>
        <w:rPr>
          <w:rFonts w:ascii="Calibri" w:hAnsi="Calibri" w:cs="Calibri"/>
        </w:rPr>
        <w:t xml:space="preserve"> </w:t>
      </w:r>
      <w:r w:rsidRPr="00A47396">
        <w:rPr>
          <w:rFonts w:ascii="Calibri" w:hAnsi="Calibri" w:cs="Calibri"/>
        </w:rPr>
        <w:t>observed shell lesions at high frequencies throughout our sites, with larger individuals (</w:t>
      </w:r>
      <w:r>
        <w:rPr>
          <w:rFonts w:ascii="Calibri" w:hAnsi="Calibri" w:cs="Calibri"/>
        </w:rPr>
        <w:t>&gt;</w:t>
      </w:r>
      <w:r w:rsidRPr="00A47396">
        <w:rPr>
          <w:rFonts w:ascii="Calibri" w:hAnsi="Calibri" w:cs="Calibri"/>
        </w:rPr>
        <w:t>100-mm plastron</w:t>
      </w:r>
      <w:r>
        <w:rPr>
          <w:rFonts w:ascii="Calibri" w:hAnsi="Calibri" w:cs="Calibri"/>
        </w:rPr>
        <w:t xml:space="preserve"> </w:t>
      </w:r>
      <w:r w:rsidRPr="00A47396">
        <w:rPr>
          <w:rFonts w:ascii="Calibri" w:hAnsi="Calibri" w:cs="Calibri"/>
        </w:rPr>
        <w:t xml:space="preserve">length) more likely to possess injuries. We saw </w:t>
      </w:r>
      <w:r w:rsidRPr="008859D7">
        <w:rPr>
          <w:rFonts w:ascii="Calibri" w:hAnsi="Calibri" w:cs="Calibri"/>
          <w:b/>
          <w:bCs/>
        </w:rPr>
        <w:t>no differences in alpha diversities between shells presenting with lesions and those on which we did not observe lesions</w:t>
      </w:r>
      <w:r w:rsidRPr="00A47396">
        <w:rPr>
          <w:rFonts w:ascii="Calibri" w:hAnsi="Calibri" w:cs="Calibri"/>
        </w:rPr>
        <w:t>; however</w:t>
      </w:r>
      <w:r w:rsidRPr="008859D7">
        <w:rPr>
          <w:rFonts w:ascii="Calibri" w:hAnsi="Calibri" w:cs="Calibri"/>
        </w:rPr>
        <w:t>,</w:t>
      </w:r>
      <w:r w:rsidRPr="008859D7">
        <w:rPr>
          <w:rFonts w:ascii="Calibri" w:hAnsi="Calibri" w:cs="Calibri"/>
          <w:b/>
          <w:bCs/>
        </w:rPr>
        <w:t xml:space="preserve"> swab samples showed higher bacterial richness than keratin scrapes</w:t>
      </w:r>
      <w:r w:rsidRPr="00A47396">
        <w:rPr>
          <w:rFonts w:ascii="Calibri" w:hAnsi="Calibri" w:cs="Calibri"/>
        </w:rPr>
        <w:t>. The bacterial composition within the scrapes was influenced by pond location</w:t>
      </w:r>
      <w:r>
        <w:rPr>
          <w:rFonts w:ascii="Calibri" w:hAnsi="Calibri" w:cs="Calibri"/>
        </w:rPr>
        <w:t xml:space="preserve"> </w:t>
      </w:r>
      <w:r w:rsidRPr="00A47396">
        <w:rPr>
          <w:rFonts w:ascii="Calibri" w:hAnsi="Calibri" w:cs="Calibri"/>
        </w:rPr>
        <w:t xml:space="preserve">and then lesion presence. We observed a higher relative abundance of </w:t>
      </w:r>
      <w:proofErr w:type="spellStart"/>
      <w:r w:rsidRPr="00614B95">
        <w:rPr>
          <w:rFonts w:ascii="Calibri" w:hAnsi="Calibri" w:cs="Calibri"/>
          <w:b/>
          <w:bCs/>
        </w:rPr>
        <w:t>Actinobacteriota</w:t>
      </w:r>
      <w:proofErr w:type="spellEnd"/>
      <w:r w:rsidRPr="00614B95">
        <w:rPr>
          <w:rFonts w:ascii="Calibri" w:hAnsi="Calibri" w:cs="Calibri"/>
          <w:b/>
          <w:bCs/>
        </w:rPr>
        <w:t xml:space="preserve">, </w:t>
      </w:r>
      <w:proofErr w:type="spellStart"/>
      <w:r w:rsidRPr="00614B95">
        <w:rPr>
          <w:rFonts w:ascii="Calibri" w:hAnsi="Calibri" w:cs="Calibri"/>
          <w:b/>
          <w:bCs/>
        </w:rPr>
        <w:t>Bacteroidota</w:t>
      </w:r>
      <w:proofErr w:type="spellEnd"/>
      <w:r w:rsidRPr="00614B95">
        <w:rPr>
          <w:rFonts w:ascii="Calibri" w:hAnsi="Calibri" w:cs="Calibri"/>
          <w:b/>
          <w:bCs/>
        </w:rPr>
        <w:t xml:space="preserve">, Cyanobacteria, and </w:t>
      </w:r>
      <w:proofErr w:type="spellStart"/>
      <w:r w:rsidRPr="00614B95">
        <w:rPr>
          <w:rFonts w:ascii="Calibri" w:hAnsi="Calibri" w:cs="Calibri"/>
          <w:b/>
          <w:bCs/>
        </w:rPr>
        <w:t>Deinococcota</w:t>
      </w:r>
      <w:proofErr w:type="spellEnd"/>
      <w:r w:rsidRPr="00A47396">
        <w:rPr>
          <w:rFonts w:ascii="Calibri" w:hAnsi="Calibri" w:cs="Calibri"/>
        </w:rPr>
        <w:t xml:space="preserve"> in the shell keratin microflora of turtles with shell lesions. Because</w:t>
      </w:r>
      <w:r>
        <w:rPr>
          <w:rFonts w:ascii="Calibri" w:hAnsi="Calibri" w:cs="Calibri"/>
        </w:rPr>
        <w:t xml:space="preserve"> </w:t>
      </w:r>
      <w:r w:rsidRPr="00A47396">
        <w:rPr>
          <w:rFonts w:ascii="Calibri" w:hAnsi="Calibri" w:cs="Calibri"/>
        </w:rPr>
        <w:t>western pond turtles are under consideration for listing under the Endangered Species Act of 1973 in the</w:t>
      </w:r>
      <w:r>
        <w:rPr>
          <w:rFonts w:ascii="Calibri" w:hAnsi="Calibri" w:cs="Calibri"/>
        </w:rPr>
        <w:t xml:space="preserve"> </w:t>
      </w:r>
      <w:r w:rsidRPr="00A47396">
        <w:rPr>
          <w:rFonts w:ascii="Calibri" w:hAnsi="Calibri" w:cs="Calibri"/>
        </w:rPr>
        <w:t>USA, understanding patterns of shell disease pathologies and the bacteria associated with disease</w:t>
      </w:r>
      <w:r>
        <w:rPr>
          <w:rFonts w:ascii="Calibri" w:hAnsi="Calibri" w:cs="Calibri"/>
        </w:rPr>
        <w:t xml:space="preserve"> </w:t>
      </w:r>
      <w:r w:rsidRPr="00A47396">
        <w:rPr>
          <w:rFonts w:ascii="Calibri" w:hAnsi="Calibri" w:cs="Calibri"/>
        </w:rPr>
        <w:t>is imperative for the management of current populations.</w:t>
      </w:r>
    </w:p>
    <w:p w14:paraId="5E9D5794" w14:textId="77777777" w:rsidR="00DF5F8D" w:rsidRDefault="00DF5F8D" w:rsidP="00DF5F8D">
      <w:pPr>
        <w:autoSpaceDE w:val="0"/>
        <w:autoSpaceDN w:val="0"/>
        <w:adjustRightInd w:val="0"/>
        <w:spacing w:line="240" w:lineRule="auto"/>
        <w:rPr>
          <w:rFonts w:ascii="Calibri" w:hAnsi="Calibri" w:cs="Calibri"/>
        </w:rPr>
      </w:pPr>
    </w:p>
    <w:p w14:paraId="5535A933" w14:textId="77777777" w:rsidR="00DF5F8D" w:rsidRDefault="00DF5F8D" w:rsidP="00DF5F8D">
      <w:pPr>
        <w:autoSpaceDE w:val="0"/>
        <w:autoSpaceDN w:val="0"/>
        <w:adjustRightInd w:val="0"/>
        <w:spacing w:line="240" w:lineRule="auto"/>
        <w:rPr>
          <w:rFonts w:ascii="Calibri" w:hAnsi="Calibri" w:cs="Calibri"/>
        </w:rPr>
      </w:pPr>
      <w:r w:rsidRPr="00614B95">
        <w:rPr>
          <w:rFonts w:ascii="Calibri" w:hAnsi="Calibri" w:cs="Calibri"/>
          <w:b/>
          <w:bCs/>
        </w:rPr>
        <w:t>Background</w:t>
      </w:r>
      <w:r>
        <w:rPr>
          <w:rFonts w:ascii="Calibri" w:hAnsi="Calibri" w:cs="Calibri"/>
        </w:rPr>
        <w:t>:</w:t>
      </w:r>
    </w:p>
    <w:p w14:paraId="06A8DA9B" w14:textId="77777777" w:rsidR="00DF5F8D" w:rsidRDefault="00DF5F8D" w:rsidP="00DF5F8D">
      <w:pPr>
        <w:pStyle w:val="ListParagraph"/>
        <w:numPr>
          <w:ilvl w:val="0"/>
          <w:numId w:val="12"/>
        </w:numPr>
        <w:autoSpaceDE w:val="0"/>
        <w:autoSpaceDN w:val="0"/>
        <w:adjustRightInd w:val="0"/>
        <w:spacing w:after="0" w:line="240" w:lineRule="auto"/>
        <w:rPr>
          <w:rFonts w:ascii="Calibri" w:hAnsi="Calibri" w:cs="Calibri"/>
        </w:rPr>
      </w:pPr>
      <w:r>
        <w:rPr>
          <w:rFonts w:ascii="Calibri" w:hAnsi="Calibri" w:cs="Calibri"/>
        </w:rPr>
        <w:t>Microbiome helps to understand how host has evolved w/</w:t>
      </w:r>
      <w:proofErr w:type="spellStart"/>
      <w:r>
        <w:rPr>
          <w:rFonts w:ascii="Calibri" w:hAnsi="Calibri" w:cs="Calibri"/>
        </w:rPr>
        <w:t>assoc</w:t>
      </w:r>
      <w:proofErr w:type="spellEnd"/>
      <w:r>
        <w:rPr>
          <w:rFonts w:ascii="Calibri" w:hAnsi="Calibri" w:cs="Calibri"/>
        </w:rPr>
        <w:t xml:space="preserve"> collection of microorganisms, competence of immune system, etiologies &amp; contributing microbiologic agents of </w:t>
      </w:r>
      <w:proofErr w:type="spellStart"/>
      <w:r>
        <w:rPr>
          <w:rFonts w:ascii="Calibri" w:hAnsi="Calibri" w:cs="Calibri"/>
        </w:rPr>
        <w:t>dz</w:t>
      </w:r>
      <w:proofErr w:type="spellEnd"/>
    </w:p>
    <w:p w14:paraId="16D70DF4" w14:textId="77777777" w:rsidR="00DF5F8D" w:rsidRDefault="00DF5F8D" w:rsidP="00DF5F8D">
      <w:pPr>
        <w:pStyle w:val="ListParagraph"/>
        <w:numPr>
          <w:ilvl w:val="0"/>
          <w:numId w:val="12"/>
        </w:numPr>
        <w:autoSpaceDE w:val="0"/>
        <w:autoSpaceDN w:val="0"/>
        <w:adjustRightInd w:val="0"/>
        <w:spacing w:after="0" w:line="240" w:lineRule="auto"/>
        <w:rPr>
          <w:rFonts w:ascii="Calibri" w:hAnsi="Calibri" w:cs="Calibri"/>
        </w:rPr>
      </w:pPr>
      <w:r>
        <w:rPr>
          <w:rFonts w:ascii="Calibri" w:hAnsi="Calibri" w:cs="Calibri"/>
        </w:rPr>
        <w:t>Ulcerative shell lesions (USLs): caused by trauma, malnutrition, microbial etiologies (G- and fungi)</w:t>
      </w:r>
    </w:p>
    <w:p w14:paraId="533F1278" w14:textId="77777777" w:rsidR="00DF5F8D" w:rsidRPr="00544110" w:rsidRDefault="00DF5F8D" w:rsidP="00DF5F8D">
      <w:pPr>
        <w:pStyle w:val="ListParagraph"/>
        <w:numPr>
          <w:ilvl w:val="0"/>
          <w:numId w:val="12"/>
        </w:numPr>
        <w:autoSpaceDE w:val="0"/>
        <w:autoSpaceDN w:val="0"/>
        <w:adjustRightInd w:val="0"/>
        <w:spacing w:after="0" w:line="240" w:lineRule="auto"/>
        <w:rPr>
          <w:rFonts w:ascii="Calibri" w:hAnsi="Calibri" w:cs="Calibri"/>
          <w:i/>
          <w:iCs/>
        </w:rPr>
      </w:pPr>
      <w:r>
        <w:rPr>
          <w:rFonts w:ascii="Calibri" w:hAnsi="Calibri" w:cs="Calibri"/>
        </w:rPr>
        <w:t xml:space="preserve">No turtles tested were positive for </w:t>
      </w:r>
      <w:r w:rsidRPr="00544110">
        <w:rPr>
          <w:rFonts w:ascii="Calibri" w:hAnsi="Calibri" w:cs="Calibri"/>
          <w:i/>
          <w:iCs/>
        </w:rPr>
        <w:t xml:space="preserve">E. </w:t>
      </w:r>
      <w:proofErr w:type="spellStart"/>
      <w:r w:rsidRPr="00544110">
        <w:rPr>
          <w:rFonts w:ascii="Calibri" w:hAnsi="Calibri" w:cs="Calibri"/>
          <w:i/>
          <w:iCs/>
        </w:rPr>
        <w:t>testavorans</w:t>
      </w:r>
      <w:proofErr w:type="spellEnd"/>
    </w:p>
    <w:p w14:paraId="35B474B7" w14:textId="77777777" w:rsidR="00DF5F8D" w:rsidRDefault="00DF5F8D" w:rsidP="00DF5F8D">
      <w:pPr>
        <w:autoSpaceDE w:val="0"/>
        <w:autoSpaceDN w:val="0"/>
        <w:adjustRightInd w:val="0"/>
        <w:spacing w:line="240" w:lineRule="auto"/>
        <w:rPr>
          <w:rFonts w:ascii="Calibri" w:hAnsi="Calibri" w:cs="Calibri"/>
        </w:rPr>
      </w:pPr>
    </w:p>
    <w:p w14:paraId="66EE5244" w14:textId="77777777" w:rsidR="00DF5F8D" w:rsidRPr="00544110" w:rsidRDefault="00DF5F8D" w:rsidP="00DF5F8D">
      <w:pPr>
        <w:autoSpaceDE w:val="0"/>
        <w:autoSpaceDN w:val="0"/>
        <w:adjustRightInd w:val="0"/>
        <w:spacing w:line="240" w:lineRule="auto"/>
        <w:rPr>
          <w:rFonts w:ascii="Calibri" w:hAnsi="Calibri" w:cs="Calibri"/>
          <w:b/>
          <w:bCs/>
        </w:rPr>
      </w:pPr>
      <w:r w:rsidRPr="00544110">
        <w:rPr>
          <w:rFonts w:ascii="Calibri" w:hAnsi="Calibri" w:cs="Calibri"/>
          <w:b/>
          <w:bCs/>
        </w:rPr>
        <w:t>Key Points:</w:t>
      </w:r>
    </w:p>
    <w:p w14:paraId="5FD6E6F9"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M&amp;M: scraped pits or ulcerations, swabbed entire shells</w:t>
      </w:r>
      <w:r w:rsidRPr="00630D0E">
        <w:rPr>
          <w:rFonts w:ascii="Calibri" w:hAnsi="Calibri" w:cs="Calibri"/>
        </w:rPr>
        <w:sym w:font="Wingdings" w:char="F0E0"/>
      </w:r>
      <w:r>
        <w:rPr>
          <w:rFonts w:ascii="Calibri" w:hAnsi="Calibri" w:cs="Calibri"/>
        </w:rPr>
        <w:t>to tell the difference b/t shell surface and deeper layers w/I shell</w:t>
      </w:r>
    </w:p>
    <w:p w14:paraId="5267CA5A" w14:textId="77777777" w:rsidR="00DF5F8D" w:rsidRDefault="00DF5F8D" w:rsidP="00DF5F8D">
      <w:pPr>
        <w:pStyle w:val="ListParagraph"/>
        <w:numPr>
          <w:ilvl w:val="1"/>
          <w:numId w:val="13"/>
        </w:numPr>
        <w:autoSpaceDE w:val="0"/>
        <w:autoSpaceDN w:val="0"/>
        <w:adjustRightInd w:val="0"/>
        <w:spacing w:after="0" w:line="240" w:lineRule="auto"/>
        <w:rPr>
          <w:rFonts w:ascii="Calibri" w:hAnsi="Calibri" w:cs="Calibri"/>
        </w:rPr>
      </w:pPr>
      <w:r>
        <w:rPr>
          <w:rFonts w:ascii="Calibri" w:hAnsi="Calibri" w:cs="Calibri"/>
        </w:rPr>
        <w:t>DNA extraction, and amplified 16S rRNA, filtered out mitochondria and chloroplast 16S rRNA</w:t>
      </w:r>
    </w:p>
    <w:p w14:paraId="72CACE1C" w14:textId="77777777" w:rsidR="00DF5F8D" w:rsidRDefault="00DF5F8D" w:rsidP="00DF5F8D">
      <w:pPr>
        <w:pStyle w:val="ListParagraph"/>
        <w:numPr>
          <w:ilvl w:val="1"/>
          <w:numId w:val="13"/>
        </w:numPr>
        <w:autoSpaceDE w:val="0"/>
        <w:autoSpaceDN w:val="0"/>
        <w:adjustRightInd w:val="0"/>
        <w:spacing w:after="0" w:line="240" w:lineRule="auto"/>
        <w:rPr>
          <w:rFonts w:ascii="Calibri" w:hAnsi="Calibri" w:cs="Calibri"/>
        </w:rPr>
      </w:pPr>
      <w:r>
        <w:rPr>
          <w:rFonts w:ascii="Calibri" w:hAnsi="Calibri" w:cs="Calibri"/>
        </w:rPr>
        <w:t>Alpha diversity metrics: community richness (number of amplicon sequence variants (ASV) detected per sample) and Shannon diversity indices</w:t>
      </w:r>
    </w:p>
    <w:p w14:paraId="69520C31" w14:textId="77777777" w:rsidR="00DF5F8D" w:rsidRDefault="00DF5F8D" w:rsidP="00DF5F8D">
      <w:pPr>
        <w:pStyle w:val="ListParagraph"/>
        <w:numPr>
          <w:ilvl w:val="1"/>
          <w:numId w:val="13"/>
        </w:numPr>
        <w:autoSpaceDE w:val="0"/>
        <w:autoSpaceDN w:val="0"/>
        <w:adjustRightInd w:val="0"/>
        <w:spacing w:after="0" w:line="240" w:lineRule="auto"/>
        <w:rPr>
          <w:rFonts w:ascii="Calibri" w:hAnsi="Calibri" w:cs="Calibri"/>
        </w:rPr>
      </w:pPr>
      <w:r>
        <w:rPr>
          <w:rFonts w:ascii="Calibri" w:hAnsi="Calibri" w:cs="Calibri"/>
        </w:rPr>
        <w:t>125 turtles (36.48.45), 66 shell swab, 50 keratin scrapes</w:t>
      </w:r>
    </w:p>
    <w:p w14:paraId="0BAAB61B"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Prevalence of shell ulceration below 50% except in 2 places; pits &gt;60% in all but 2 sites</w:t>
      </w:r>
    </w:p>
    <w:p w14:paraId="2F18D86A"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 xml:space="preserve">Shell lesion sig </w:t>
      </w:r>
      <w:proofErr w:type="spellStart"/>
      <w:r>
        <w:rPr>
          <w:rFonts w:ascii="Calibri" w:hAnsi="Calibri" w:cs="Calibri"/>
        </w:rPr>
        <w:t>assoc</w:t>
      </w:r>
      <w:proofErr w:type="spellEnd"/>
      <w:r>
        <w:rPr>
          <w:rFonts w:ascii="Calibri" w:hAnsi="Calibri" w:cs="Calibri"/>
        </w:rPr>
        <w:t xml:space="preserve"> w/plastron length (1.036x </w:t>
      </w:r>
      <w:proofErr w:type="spellStart"/>
      <w:r>
        <w:rPr>
          <w:rFonts w:ascii="Calibri" w:hAnsi="Calibri" w:cs="Calibri"/>
        </w:rPr>
        <w:t>inc</w:t>
      </w:r>
      <w:proofErr w:type="spellEnd"/>
      <w:r>
        <w:rPr>
          <w:rFonts w:ascii="Calibri" w:hAnsi="Calibri" w:cs="Calibri"/>
        </w:rPr>
        <w:t xml:space="preserve"> probability w/</w:t>
      </w:r>
      <w:proofErr w:type="spellStart"/>
      <w:r>
        <w:rPr>
          <w:rFonts w:ascii="Calibri" w:hAnsi="Calibri" w:cs="Calibri"/>
        </w:rPr>
        <w:t>inc</w:t>
      </w:r>
      <w:proofErr w:type="spellEnd"/>
      <w:r>
        <w:rPr>
          <w:rFonts w:ascii="Calibri" w:hAnsi="Calibri" w:cs="Calibri"/>
        </w:rPr>
        <w:t xml:space="preserve"> plastron length)</w:t>
      </w:r>
    </w:p>
    <w:p w14:paraId="67333398"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 xml:space="preserve">Bacterial richness sig </w:t>
      </w:r>
      <w:proofErr w:type="spellStart"/>
      <w:r>
        <w:rPr>
          <w:rFonts w:ascii="Calibri" w:hAnsi="Calibri" w:cs="Calibri"/>
        </w:rPr>
        <w:t>assoc</w:t>
      </w:r>
      <w:proofErr w:type="spellEnd"/>
      <w:r>
        <w:rPr>
          <w:rFonts w:ascii="Calibri" w:hAnsi="Calibri" w:cs="Calibri"/>
        </w:rPr>
        <w:t xml:space="preserve"> w/sample type and shell lesion presence, but not w/interaction b/t sample type and lesion presence</w:t>
      </w:r>
      <w:r w:rsidRPr="00D0551B">
        <w:rPr>
          <w:rFonts w:ascii="Calibri" w:hAnsi="Calibri" w:cs="Calibri"/>
        </w:rPr>
        <w:sym w:font="Wingdings" w:char="F0E0"/>
      </w:r>
      <w:r>
        <w:rPr>
          <w:rFonts w:ascii="Calibri" w:hAnsi="Calibri" w:cs="Calibri"/>
        </w:rPr>
        <w:t>shell swab had higher bacterial richness than scrapes</w:t>
      </w:r>
    </w:p>
    <w:p w14:paraId="324F4D4C" w14:textId="77777777" w:rsidR="00DF5F8D" w:rsidRDefault="00DF5F8D" w:rsidP="00DF5F8D">
      <w:pPr>
        <w:pStyle w:val="ListParagraph"/>
        <w:numPr>
          <w:ilvl w:val="1"/>
          <w:numId w:val="13"/>
        </w:numPr>
        <w:autoSpaceDE w:val="0"/>
        <w:autoSpaceDN w:val="0"/>
        <w:adjustRightInd w:val="0"/>
        <w:spacing w:after="0" w:line="240" w:lineRule="auto"/>
        <w:rPr>
          <w:rFonts w:ascii="Calibri" w:hAnsi="Calibri" w:cs="Calibri"/>
        </w:rPr>
      </w:pPr>
      <w:r>
        <w:rPr>
          <w:rFonts w:ascii="Calibri" w:hAnsi="Calibri" w:cs="Calibri"/>
        </w:rPr>
        <w:t>Shannon indices didn’t differ based on sample type, lesion presence, or interaction term</w:t>
      </w:r>
    </w:p>
    <w:p w14:paraId="275538D9"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Most ASV associated w/shell lesions, ASV identified w/</w:t>
      </w:r>
      <w:proofErr w:type="spellStart"/>
      <w:r>
        <w:rPr>
          <w:rFonts w:ascii="Calibri" w:hAnsi="Calibri" w:cs="Calibri"/>
        </w:rPr>
        <w:t>Acidobacteriota</w:t>
      </w:r>
      <w:proofErr w:type="spellEnd"/>
      <w:r>
        <w:rPr>
          <w:rFonts w:ascii="Calibri" w:hAnsi="Calibri" w:cs="Calibri"/>
        </w:rPr>
        <w:t xml:space="preserve">, </w:t>
      </w:r>
      <w:proofErr w:type="spellStart"/>
      <w:r>
        <w:rPr>
          <w:rFonts w:ascii="Calibri" w:hAnsi="Calibri" w:cs="Calibri"/>
        </w:rPr>
        <w:t>Actinobacteriota</w:t>
      </w:r>
      <w:proofErr w:type="spellEnd"/>
      <w:r>
        <w:rPr>
          <w:rFonts w:ascii="Calibri" w:hAnsi="Calibri" w:cs="Calibri"/>
        </w:rPr>
        <w:t xml:space="preserve">, </w:t>
      </w:r>
      <w:proofErr w:type="spellStart"/>
      <w:r>
        <w:rPr>
          <w:rFonts w:ascii="Calibri" w:hAnsi="Calibri" w:cs="Calibri"/>
        </w:rPr>
        <w:t>Bacteroidota</w:t>
      </w:r>
      <w:proofErr w:type="spellEnd"/>
      <w:r>
        <w:rPr>
          <w:rFonts w:ascii="Calibri" w:hAnsi="Calibri" w:cs="Calibri"/>
        </w:rPr>
        <w:t xml:space="preserve">, Cyanobacteria, </w:t>
      </w:r>
      <w:proofErr w:type="spellStart"/>
      <w:r>
        <w:rPr>
          <w:rFonts w:ascii="Calibri" w:hAnsi="Calibri" w:cs="Calibri"/>
        </w:rPr>
        <w:t>Deinococcota</w:t>
      </w:r>
      <w:proofErr w:type="spellEnd"/>
      <w:r>
        <w:rPr>
          <w:rFonts w:ascii="Calibri" w:hAnsi="Calibri" w:cs="Calibri"/>
        </w:rPr>
        <w:t xml:space="preserve">, Firmicutes, </w:t>
      </w:r>
      <w:proofErr w:type="spellStart"/>
      <w:r>
        <w:rPr>
          <w:rFonts w:ascii="Calibri" w:hAnsi="Calibri" w:cs="Calibri"/>
        </w:rPr>
        <w:t>Alphaproteobacteria</w:t>
      </w:r>
      <w:proofErr w:type="spellEnd"/>
      <w:r>
        <w:rPr>
          <w:rFonts w:ascii="Calibri" w:hAnsi="Calibri" w:cs="Calibri"/>
        </w:rPr>
        <w:t xml:space="preserve">, </w:t>
      </w:r>
      <w:proofErr w:type="spellStart"/>
      <w:r>
        <w:rPr>
          <w:rFonts w:ascii="Calibri" w:hAnsi="Calibri" w:cs="Calibri"/>
        </w:rPr>
        <w:t>Gammaproteobacteria</w:t>
      </w:r>
      <w:proofErr w:type="spellEnd"/>
    </w:p>
    <w:p w14:paraId="0B72A750"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lastRenderedPageBreak/>
        <w:t xml:space="preserve"> similar prevalence of ulceration previously seen in free ranging </w:t>
      </w:r>
      <w:r w:rsidRPr="003A143D">
        <w:rPr>
          <w:rFonts w:ascii="Calibri" w:hAnsi="Calibri" w:cs="Calibri"/>
          <w:i/>
          <w:iCs/>
        </w:rPr>
        <w:t xml:space="preserve">P. </w:t>
      </w:r>
      <w:proofErr w:type="spellStart"/>
      <w:r w:rsidRPr="003A143D">
        <w:rPr>
          <w:rFonts w:ascii="Calibri" w:hAnsi="Calibri" w:cs="Calibri"/>
          <w:i/>
          <w:iCs/>
        </w:rPr>
        <w:t>concinna</w:t>
      </w:r>
      <w:proofErr w:type="spellEnd"/>
      <w:r w:rsidRPr="003A143D">
        <w:rPr>
          <w:rFonts w:ascii="Calibri" w:hAnsi="Calibri" w:cs="Calibri"/>
          <w:i/>
          <w:iCs/>
        </w:rPr>
        <w:t xml:space="preserve"> </w:t>
      </w:r>
      <w:r>
        <w:rPr>
          <w:rFonts w:ascii="Calibri" w:hAnsi="Calibri" w:cs="Calibri"/>
        </w:rPr>
        <w:t xml:space="preserve">and </w:t>
      </w:r>
      <w:r w:rsidRPr="003A143D">
        <w:rPr>
          <w:rFonts w:ascii="Calibri" w:hAnsi="Calibri" w:cs="Calibri"/>
          <w:i/>
          <w:iCs/>
        </w:rPr>
        <w:t>T. scripta</w:t>
      </w:r>
      <w:r>
        <w:rPr>
          <w:rFonts w:ascii="Calibri" w:hAnsi="Calibri" w:cs="Calibri"/>
        </w:rPr>
        <w:t xml:space="preserve">; </w:t>
      </w:r>
      <w:proofErr w:type="spellStart"/>
      <w:r>
        <w:rPr>
          <w:rFonts w:ascii="Calibri" w:hAnsi="Calibri" w:cs="Calibri"/>
        </w:rPr>
        <w:t>spp</w:t>
      </w:r>
      <w:proofErr w:type="spellEnd"/>
      <w:r>
        <w:rPr>
          <w:rFonts w:ascii="Calibri" w:hAnsi="Calibri" w:cs="Calibri"/>
        </w:rPr>
        <w:t xml:space="preserve"> experiencing higher </w:t>
      </w:r>
      <w:proofErr w:type="spellStart"/>
      <w:r>
        <w:rPr>
          <w:rFonts w:ascii="Calibri" w:hAnsi="Calibri" w:cs="Calibri"/>
        </w:rPr>
        <w:t>prev</w:t>
      </w:r>
      <w:proofErr w:type="spellEnd"/>
      <w:r>
        <w:rPr>
          <w:rFonts w:ascii="Calibri" w:hAnsi="Calibri" w:cs="Calibri"/>
        </w:rPr>
        <w:t xml:space="preserve"> of ulceration basked at higher </w:t>
      </w:r>
      <w:proofErr w:type="spellStart"/>
      <w:r>
        <w:rPr>
          <w:rFonts w:ascii="Calibri" w:hAnsi="Calibri" w:cs="Calibri"/>
        </w:rPr>
        <w:t>freq</w:t>
      </w:r>
      <w:proofErr w:type="spellEnd"/>
      <w:r>
        <w:rPr>
          <w:rFonts w:ascii="Calibri" w:hAnsi="Calibri" w:cs="Calibri"/>
        </w:rPr>
        <w:t xml:space="preserve"> than other turtles</w:t>
      </w:r>
    </w:p>
    <w:p w14:paraId="488970AB"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 xml:space="preserve">Inadequate husbandry </w:t>
      </w:r>
      <w:proofErr w:type="spellStart"/>
      <w:r>
        <w:rPr>
          <w:rFonts w:ascii="Calibri" w:hAnsi="Calibri" w:cs="Calibri"/>
        </w:rPr>
        <w:t>assoc</w:t>
      </w:r>
      <w:proofErr w:type="spellEnd"/>
      <w:r>
        <w:rPr>
          <w:rFonts w:ascii="Calibri" w:hAnsi="Calibri" w:cs="Calibri"/>
        </w:rPr>
        <w:t xml:space="preserve"> w/development and exacerbation of shell </w:t>
      </w:r>
      <w:proofErr w:type="spellStart"/>
      <w:r>
        <w:rPr>
          <w:rFonts w:ascii="Calibri" w:hAnsi="Calibri" w:cs="Calibri"/>
        </w:rPr>
        <w:t>dz</w:t>
      </w:r>
      <w:proofErr w:type="spellEnd"/>
      <w:r>
        <w:rPr>
          <w:rFonts w:ascii="Calibri" w:hAnsi="Calibri" w:cs="Calibri"/>
        </w:rPr>
        <w:t xml:space="preserve"> in captivity</w:t>
      </w:r>
    </w:p>
    <w:p w14:paraId="5BB42A55"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Strong geographic effect noted previously w/cloacal, skin, and keratin scrapes in aquatic turtles</w:t>
      </w:r>
    </w:p>
    <w:p w14:paraId="29C8F365" w14:textId="77777777" w:rsidR="00DF5F8D" w:rsidRDefault="00DF5F8D" w:rsidP="00DF5F8D">
      <w:pPr>
        <w:pStyle w:val="ListParagraph"/>
        <w:numPr>
          <w:ilvl w:val="0"/>
          <w:numId w:val="13"/>
        </w:numPr>
        <w:autoSpaceDE w:val="0"/>
        <w:autoSpaceDN w:val="0"/>
        <w:adjustRightInd w:val="0"/>
        <w:spacing w:after="0" w:line="240" w:lineRule="auto"/>
        <w:rPr>
          <w:rFonts w:ascii="Calibri" w:hAnsi="Calibri" w:cs="Calibri"/>
        </w:rPr>
      </w:pPr>
      <w:r>
        <w:rPr>
          <w:rFonts w:ascii="Calibri" w:hAnsi="Calibri" w:cs="Calibri"/>
        </w:rPr>
        <w:t>Environmental quality is potential contributor to lesion formation</w:t>
      </w:r>
    </w:p>
    <w:p w14:paraId="1D2E2E7A" w14:textId="77777777" w:rsidR="00DF5F8D" w:rsidRDefault="00DF5F8D" w:rsidP="00DF5F8D">
      <w:pPr>
        <w:pStyle w:val="ListParagraph"/>
        <w:numPr>
          <w:ilvl w:val="1"/>
          <w:numId w:val="13"/>
        </w:numPr>
        <w:autoSpaceDE w:val="0"/>
        <w:autoSpaceDN w:val="0"/>
        <w:adjustRightInd w:val="0"/>
        <w:spacing w:after="0" w:line="240" w:lineRule="auto"/>
        <w:rPr>
          <w:rFonts w:ascii="Calibri" w:hAnsi="Calibri" w:cs="Calibri"/>
        </w:rPr>
      </w:pPr>
      <w:r>
        <w:rPr>
          <w:rFonts w:ascii="Calibri" w:hAnsi="Calibri" w:cs="Calibri"/>
        </w:rPr>
        <w:t>Previous bacteriome research into gut of western pond turtles: lower Bacteroidetes &amp; more Firmicutes w/lower land cover</w:t>
      </w:r>
      <w:r w:rsidRPr="00022067">
        <w:rPr>
          <w:rFonts w:ascii="Calibri" w:hAnsi="Calibri" w:cs="Calibri"/>
        </w:rPr>
        <w:sym w:font="Wingdings" w:char="F0E0"/>
      </w:r>
      <w:r>
        <w:rPr>
          <w:rFonts w:ascii="Calibri" w:hAnsi="Calibri" w:cs="Calibri"/>
        </w:rPr>
        <w:t>typically see w/diet shifts to more herbivorous</w:t>
      </w:r>
    </w:p>
    <w:p w14:paraId="0FB9CE6C" w14:textId="77777777" w:rsidR="00DF5F8D" w:rsidRDefault="00DF5F8D" w:rsidP="00DF5F8D">
      <w:pPr>
        <w:autoSpaceDE w:val="0"/>
        <w:autoSpaceDN w:val="0"/>
        <w:adjustRightInd w:val="0"/>
        <w:spacing w:line="240" w:lineRule="auto"/>
        <w:rPr>
          <w:rFonts w:ascii="Calibri" w:hAnsi="Calibri" w:cs="Calibri"/>
          <w:b/>
          <w:bCs/>
        </w:rPr>
      </w:pPr>
    </w:p>
    <w:p w14:paraId="6630BF60" w14:textId="77777777" w:rsidR="00DF5F8D" w:rsidRPr="00BF2C2F" w:rsidRDefault="00DF5F8D" w:rsidP="00DF5F8D">
      <w:pPr>
        <w:autoSpaceDE w:val="0"/>
        <w:autoSpaceDN w:val="0"/>
        <w:adjustRightInd w:val="0"/>
        <w:spacing w:line="240" w:lineRule="auto"/>
        <w:rPr>
          <w:rFonts w:ascii="Calibri" w:hAnsi="Calibri" w:cs="Calibri"/>
          <w:b/>
          <w:bCs/>
        </w:rPr>
      </w:pPr>
      <w:r w:rsidRPr="00BF2C2F">
        <w:rPr>
          <w:rFonts w:ascii="Calibri" w:hAnsi="Calibri" w:cs="Calibri"/>
          <w:b/>
          <w:bCs/>
        </w:rPr>
        <w:t>Main Takeaways:</w:t>
      </w:r>
    </w:p>
    <w:p w14:paraId="772AC447" w14:textId="77777777" w:rsidR="00DF5F8D" w:rsidRDefault="00DF5F8D" w:rsidP="00DF5F8D">
      <w:pPr>
        <w:pStyle w:val="ListParagraph"/>
        <w:numPr>
          <w:ilvl w:val="0"/>
          <w:numId w:val="14"/>
        </w:numPr>
        <w:autoSpaceDE w:val="0"/>
        <w:autoSpaceDN w:val="0"/>
        <w:adjustRightInd w:val="0"/>
        <w:spacing w:after="0" w:line="240" w:lineRule="auto"/>
        <w:rPr>
          <w:rFonts w:ascii="Calibri" w:hAnsi="Calibri" w:cs="Calibri"/>
        </w:rPr>
      </w:pPr>
      <w:r>
        <w:rPr>
          <w:rFonts w:ascii="Calibri" w:hAnsi="Calibri" w:cs="Calibri"/>
        </w:rPr>
        <w:t>Increased incidence of shell lesions in larger animals than young, ulcerations found at lower frequency than pits</w:t>
      </w:r>
    </w:p>
    <w:p w14:paraId="3EB8C20B" w14:textId="77777777" w:rsidR="00DF5F8D" w:rsidRDefault="00DF5F8D" w:rsidP="00DF5F8D">
      <w:pPr>
        <w:pStyle w:val="ListParagraph"/>
        <w:numPr>
          <w:ilvl w:val="0"/>
          <w:numId w:val="14"/>
        </w:numPr>
        <w:autoSpaceDE w:val="0"/>
        <w:autoSpaceDN w:val="0"/>
        <w:adjustRightInd w:val="0"/>
        <w:spacing w:after="0" w:line="240" w:lineRule="auto"/>
        <w:rPr>
          <w:rFonts w:ascii="Calibri" w:hAnsi="Calibri" w:cs="Calibri"/>
        </w:rPr>
      </w:pPr>
      <w:r>
        <w:rPr>
          <w:rFonts w:ascii="Calibri" w:hAnsi="Calibri" w:cs="Calibri"/>
        </w:rPr>
        <w:t>Community richness (number of ASVs in a sample) but not diversity (evenness in frequency of ASVs observed per sample) differed b/t swabs and scrapes and differed in composition, but composition was mostly influenced by pond location</w:t>
      </w:r>
    </w:p>
    <w:p w14:paraId="50F8E95A" w14:textId="77777777" w:rsidR="00DF5F8D" w:rsidRPr="00BF2C2F" w:rsidRDefault="00DF5F8D" w:rsidP="00DF5F8D">
      <w:pPr>
        <w:pStyle w:val="ListParagraph"/>
        <w:numPr>
          <w:ilvl w:val="0"/>
          <w:numId w:val="14"/>
        </w:numPr>
        <w:autoSpaceDE w:val="0"/>
        <w:autoSpaceDN w:val="0"/>
        <w:adjustRightInd w:val="0"/>
        <w:spacing w:after="0" w:line="240" w:lineRule="auto"/>
        <w:rPr>
          <w:rFonts w:ascii="Calibri" w:hAnsi="Calibri" w:cs="Calibri"/>
        </w:rPr>
      </w:pPr>
      <w:r>
        <w:rPr>
          <w:rFonts w:ascii="Calibri" w:hAnsi="Calibri" w:cs="Calibri"/>
        </w:rPr>
        <w:t>Mechanism b/t land use change, diet shifts, and bacteriome shifts important to understand link b/t environment and health</w:t>
      </w:r>
      <w:r>
        <w:rPr>
          <w:rFonts w:ascii="Calibri" w:hAnsi="Calibri" w:cs="Calibri"/>
          <w:noProof/>
        </w:rPr>
        <w:lastRenderedPageBreak/>
        <w:drawing>
          <wp:inline distT="0" distB="0" distL="0" distR="0" wp14:anchorId="7EC02CED" wp14:editId="2D888F10">
            <wp:extent cx="4774018" cy="4179306"/>
            <wp:effectExtent l="0" t="0" r="1270" b="0"/>
            <wp:docPr id="272239116" name="Picture 19" descr="A collage of different types of tur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39116" name="Picture 18" descr="A collage of different types of turtle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9858" cy="4184418"/>
                    </a:xfrm>
                    <a:prstGeom prst="rect">
                      <a:avLst/>
                    </a:prstGeom>
                  </pic:spPr>
                </pic:pic>
              </a:graphicData>
            </a:graphic>
          </wp:inline>
        </w:drawing>
      </w:r>
      <w:r>
        <w:rPr>
          <w:rFonts w:ascii="Calibri" w:hAnsi="Calibri" w:cs="Calibri"/>
          <w:noProof/>
        </w:rPr>
        <w:drawing>
          <wp:inline distT="0" distB="0" distL="0" distR="0" wp14:anchorId="6AE5222A" wp14:editId="735C9ECA">
            <wp:extent cx="3205111" cy="4019107"/>
            <wp:effectExtent l="0" t="0" r="0" b="0"/>
            <wp:docPr id="1010689768" name="Picture 20"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89768" name="Picture 2" descr="A graph of a number of objects&#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3207119" cy="4021625"/>
                    </a:xfrm>
                    <a:prstGeom prst="rect">
                      <a:avLst/>
                    </a:prstGeom>
                  </pic:spPr>
                </pic:pic>
              </a:graphicData>
            </a:graphic>
          </wp:inline>
        </w:drawing>
      </w:r>
    </w:p>
    <w:p w14:paraId="781CF4DD" w14:textId="77777777" w:rsidR="00DF5F8D" w:rsidRDefault="00DF5F8D" w:rsidP="00DF5F8D">
      <w:pPr>
        <w:autoSpaceDE w:val="0"/>
        <w:autoSpaceDN w:val="0"/>
        <w:adjustRightInd w:val="0"/>
        <w:spacing w:line="240" w:lineRule="auto"/>
        <w:rPr>
          <w:rFonts w:ascii="Calibri" w:hAnsi="Calibri" w:cs="Calibri"/>
        </w:rPr>
      </w:pPr>
    </w:p>
    <w:p w14:paraId="09EAB3F4" w14:textId="77777777" w:rsidR="00DF5F8D" w:rsidRPr="008D300A" w:rsidRDefault="00DF5F8D" w:rsidP="00DF5F8D">
      <w:pPr>
        <w:autoSpaceDE w:val="0"/>
        <w:autoSpaceDN w:val="0"/>
        <w:adjustRightInd w:val="0"/>
        <w:spacing w:line="240" w:lineRule="auto"/>
        <w:rPr>
          <w:rFonts w:ascii="Calibri" w:hAnsi="Calibri" w:cs="Calibri"/>
          <w:b/>
          <w:bCs/>
        </w:rPr>
      </w:pPr>
      <w:r w:rsidRPr="008D300A">
        <w:rPr>
          <w:rFonts w:ascii="Calibri" w:hAnsi="Calibri" w:cs="Calibri"/>
          <w:b/>
          <w:bCs/>
        </w:rPr>
        <w:t xml:space="preserve">Evaluating the efficacy of disinfectant methods against </w:t>
      </w:r>
      <w:proofErr w:type="spellStart"/>
      <w:r w:rsidRPr="008D300A">
        <w:rPr>
          <w:rFonts w:ascii="Calibri" w:hAnsi="Calibri" w:cs="Calibri"/>
          <w:b/>
          <w:bCs/>
          <w:i/>
          <w:iCs/>
        </w:rPr>
        <w:t>Emydomyces</w:t>
      </w:r>
      <w:proofErr w:type="spellEnd"/>
      <w:r w:rsidRPr="008D300A">
        <w:rPr>
          <w:rFonts w:ascii="Calibri" w:hAnsi="Calibri" w:cs="Calibri"/>
          <w:b/>
          <w:bCs/>
          <w:i/>
          <w:iCs/>
        </w:rPr>
        <w:t xml:space="preserve"> </w:t>
      </w:r>
      <w:proofErr w:type="spellStart"/>
      <w:r w:rsidRPr="008D300A">
        <w:rPr>
          <w:rFonts w:ascii="Calibri" w:hAnsi="Calibri" w:cs="Calibri"/>
          <w:b/>
          <w:bCs/>
          <w:i/>
          <w:iCs/>
        </w:rPr>
        <w:t>testavorans</w:t>
      </w:r>
      <w:proofErr w:type="spellEnd"/>
      <w:r w:rsidRPr="008D300A">
        <w:rPr>
          <w:rFonts w:ascii="Calibri" w:hAnsi="Calibri" w:cs="Calibri"/>
          <w:b/>
          <w:bCs/>
        </w:rPr>
        <w:t>, a fungus associated with shell disease in freshwater aquatic turtles</w:t>
      </w:r>
    </w:p>
    <w:p w14:paraId="0C066040" w14:textId="77777777" w:rsidR="00DF5F8D" w:rsidRDefault="00DF5F8D" w:rsidP="00DF5F8D">
      <w:pPr>
        <w:autoSpaceDE w:val="0"/>
        <w:autoSpaceDN w:val="0"/>
        <w:adjustRightInd w:val="0"/>
        <w:spacing w:line="240" w:lineRule="auto"/>
        <w:rPr>
          <w:rFonts w:ascii="Calibri" w:hAnsi="Calibri" w:cs="Calibri"/>
        </w:rPr>
      </w:pPr>
      <w:proofErr w:type="spellStart"/>
      <w:r>
        <w:rPr>
          <w:rFonts w:ascii="Calibri" w:hAnsi="Calibri" w:cs="Calibri"/>
        </w:rPr>
        <w:t>Liszka</w:t>
      </w:r>
      <w:proofErr w:type="spellEnd"/>
      <w:r>
        <w:rPr>
          <w:rFonts w:ascii="Calibri" w:hAnsi="Calibri" w:cs="Calibri"/>
        </w:rPr>
        <w:t xml:space="preserve"> NC, </w:t>
      </w:r>
      <w:proofErr w:type="spellStart"/>
      <w:r>
        <w:rPr>
          <w:rFonts w:ascii="Calibri" w:hAnsi="Calibri" w:cs="Calibri"/>
        </w:rPr>
        <w:t>Adamovicz</w:t>
      </w:r>
      <w:proofErr w:type="spellEnd"/>
      <w:r>
        <w:rPr>
          <w:rFonts w:ascii="Calibri" w:hAnsi="Calibri" w:cs="Calibri"/>
        </w:rPr>
        <w:t xml:space="preserve"> L, Moorhead KA, </w:t>
      </w:r>
      <w:proofErr w:type="spellStart"/>
      <w:r>
        <w:rPr>
          <w:rFonts w:ascii="Calibri" w:hAnsi="Calibri" w:cs="Calibri"/>
        </w:rPr>
        <w:t>Daleo</w:t>
      </w:r>
      <w:proofErr w:type="spellEnd"/>
      <w:r>
        <w:rPr>
          <w:rFonts w:ascii="Calibri" w:hAnsi="Calibri" w:cs="Calibri"/>
        </w:rPr>
        <w:t xml:space="preserve"> MJ, </w:t>
      </w:r>
      <w:proofErr w:type="spellStart"/>
      <w:r>
        <w:rPr>
          <w:rFonts w:ascii="Calibri" w:hAnsi="Calibri" w:cs="Calibri"/>
        </w:rPr>
        <w:t>Grochowski</w:t>
      </w:r>
      <w:proofErr w:type="spellEnd"/>
      <w:r>
        <w:rPr>
          <w:rFonts w:ascii="Calibri" w:hAnsi="Calibri" w:cs="Calibri"/>
        </w:rPr>
        <w:t xml:space="preserve"> K, Allender MC. J </w:t>
      </w:r>
      <w:proofErr w:type="spellStart"/>
      <w:r>
        <w:rPr>
          <w:rFonts w:ascii="Calibri" w:hAnsi="Calibri" w:cs="Calibri"/>
        </w:rPr>
        <w:t>Wildl</w:t>
      </w:r>
      <w:proofErr w:type="spellEnd"/>
      <w:r>
        <w:rPr>
          <w:rFonts w:ascii="Calibri" w:hAnsi="Calibri" w:cs="Calibri"/>
        </w:rPr>
        <w:t xml:space="preserve"> Dis. 2024;61(1):234-</w:t>
      </w:r>
      <w:proofErr w:type="gramStart"/>
      <w:r>
        <w:rPr>
          <w:rFonts w:ascii="Calibri" w:hAnsi="Calibri" w:cs="Calibri"/>
        </w:rPr>
        <w:t>240.—</w:t>
      </w:r>
      <w:proofErr w:type="gramEnd"/>
      <w:r>
        <w:rPr>
          <w:rFonts w:ascii="Calibri" w:hAnsi="Calibri" w:cs="Calibri"/>
        </w:rPr>
        <w:t>Reviewed by ALD</w:t>
      </w:r>
    </w:p>
    <w:p w14:paraId="6BA72B19" w14:textId="77777777" w:rsidR="00DF5F8D" w:rsidRDefault="00DF5F8D" w:rsidP="00DF5F8D">
      <w:pPr>
        <w:autoSpaceDE w:val="0"/>
        <w:autoSpaceDN w:val="0"/>
        <w:adjustRightInd w:val="0"/>
        <w:spacing w:line="240" w:lineRule="auto"/>
        <w:rPr>
          <w:rFonts w:ascii="Calibri" w:hAnsi="Calibri" w:cs="Calibri"/>
        </w:rPr>
      </w:pPr>
    </w:p>
    <w:p w14:paraId="072D5299" w14:textId="77777777" w:rsidR="00DF5F8D" w:rsidRDefault="00DF5F8D" w:rsidP="00DF5F8D">
      <w:pPr>
        <w:autoSpaceDE w:val="0"/>
        <w:autoSpaceDN w:val="0"/>
        <w:adjustRightInd w:val="0"/>
        <w:spacing w:line="240" w:lineRule="auto"/>
        <w:rPr>
          <w:rFonts w:ascii="Calibri" w:hAnsi="Calibri" w:cs="Calibri"/>
        </w:rPr>
      </w:pPr>
      <w:r w:rsidRPr="008D300A">
        <w:rPr>
          <w:rFonts w:ascii="Calibri" w:hAnsi="Calibri" w:cs="Calibri"/>
          <w:b/>
          <w:bCs/>
        </w:rPr>
        <w:t>Abstract</w:t>
      </w:r>
      <w:r w:rsidRPr="008D300A">
        <w:rPr>
          <w:rFonts w:ascii="Calibri" w:hAnsi="Calibri" w:cs="Calibri"/>
        </w:rPr>
        <w:t xml:space="preserve">: </w:t>
      </w:r>
      <w:proofErr w:type="spellStart"/>
      <w:r w:rsidRPr="00997CFB">
        <w:rPr>
          <w:rFonts w:ascii="Calibri" w:hAnsi="Calibri" w:cs="Calibri"/>
          <w:i/>
          <w:iCs/>
        </w:rPr>
        <w:t>Emydomyces</w:t>
      </w:r>
      <w:proofErr w:type="spellEnd"/>
      <w:r w:rsidRPr="00997CFB">
        <w:rPr>
          <w:rFonts w:ascii="Calibri" w:hAnsi="Calibri" w:cs="Calibri"/>
          <w:i/>
          <w:iCs/>
        </w:rPr>
        <w:t xml:space="preserve"> </w:t>
      </w:r>
      <w:proofErr w:type="spellStart"/>
      <w:r w:rsidRPr="00997CFB">
        <w:rPr>
          <w:rFonts w:ascii="Calibri" w:hAnsi="Calibri" w:cs="Calibri"/>
          <w:i/>
          <w:iCs/>
        </w:rPr>
        <w:t>testavorans</w:t>
      </w:r>
      <w:proofErr w:type="spellEnd"/>
      <w:r w:rsidRPr="008D300A">
        <w:rPr>
          <w:rFonts w:ascii="Calibri" w:hAnsi="Calibri" w:cs="Calibri"/>
        </w:rPr>
        <w:t xml:space="preserve"> is an </w:t>
      </w:r>
      <w:proofErr w:type="spellStart"/>
      <w:r w:rsidRPr="008D300A">
        <w:rPr>
          <w:rFonts w:ascii="Calibri" w:hAnsi="Calibri" w:cs="Calibri"/>
        </w:rPr>
        <w:t>onygenalean</w:t>
      </w:r>
      <w:proofErr w:type="spellEnd"/>
      <w:r>
        <w:rPr>
          <w:rFonts w:ascii="Calibri" w:hAnsi="Calibri" w:cs="Calibri"/>
        </w:rPr>
        <w:t xml:space="preserve"> </w:t>
      </w:r>
      <w:r w:rsidRPr="008D300A">
        <w:rPr>
          <w:rFonts w:ascii="Calibri" w:hAnsi="Calibri" w:cs="Calibri"/>
        </w:rPr>
        <w:t>fungus associated with shell and skin</w:t>
      </w:r>
      <w:r>
        <w:rPr>
          <w:rFonts w:ascii="Calibri" w:hAnsi="Calibri" w:cs="Calibri"/>
        </w:rPr>
        <w:t xml:space="preserve"> </w:t>
      </w:r>
      <w:r w:rsidRPr="008D300A">
        <w:rPr>
          <w:rFonts w:ascii="Calibri" w:hAnsi="Calibri" w:cs="Calibri"/>
        </w:rPr>
        <w:t>lesions in chelonians and is increasingly linked to</w:t>
      </w:r>
      <w:r>
        <w:rPr>
          <w:rFonts w:ascii="Calibri" w:hAnsi="Calibri" w:cs="Calibri"/>
        </w:rPr>
        <w:t xml:space="preserve"> </w:t>
      </w:r>
      <w:r w:rsidRPr="008D300A">
        <w:rPr>
          <w:rFonts w:ascii="Calibri" w:hAnsi="Calibri" w:cs="Calibri"/>
        </w:rPr>
        <w:t>morbidity and mortality. Effective disinfection</w:t>
      </w:r>
      <w:r>
        <w:rPr>
          <w:rFonts w:ascii="Calibri" w:hAnsi="Calibri" w:cs="Calibri"/>
        </w:rPr>
        <w:t xml:space="preserve"> </w:t>
      </w:r>
      <w:r w:rsidRPr="008D300A">
        <w:rPr>
          <w:rFonts w:ascii="Calibri" w:hAnsi="Calibri" w:cs="Calibri"/>
        </w:rPr>
        <w:t>methods are a critical component of biosecurity</w:t>
      </w:r>
      <w:r>
        <w:rPr>
          <w:rFonts w:ascii="Calibri" w:hAnsi="Calibri" w:cs="Calibri"/>
        </w:rPr>
        <w:t xml:space="preserve"> </w:t>
      </w:r>
      <w:r w:rsidRPr="008D300A">
        <w:rPr>
          <w:rFonts w:ascii="Calibri" w:hAnsi="Calibri" w:cs="Calibri"/>
        </w:rPr>
        <w:t xml:space="preserve">protocols to prevent and manage </w:t>
      </w:r>
      <w:proofErr w:type="spellStart"/>
      <w:r w:rsidRPr="008D300A">
        <w:rPr>
          <w:rFonts w:ascii="Calibri" w:hAnsi="Calibri" w:cs="Calibri"/>
        </w:rPr>
        <w:t>emydomycosis</w:t>
      </w:r>
      <w:proofErr w:type="spellEnd"/>
      <w:r w:rsidRPr="008D300A">
        <w:rPr>
          <w:rFonts w:ascii="Calibri" w:hAnsi="Calibri" w:cs="Calibri"/>
        </w:rPr>
        <w:t>;</w:t>
      </w:r>
      <w:r>
        <w:rPr>
          <w:rFonts w:ascii="Calibri" w:hAnsi="Calibri" w:cs="Calibri"/>
        </w:rPr>
        <w:t xml:space="preserve"> </w:t>
      </w:r>
      <w:r w:rsidRPr="008D300A">
        <w:rPr>
          <w:rFonts w:ascii="Calibri" w:hAnsi="Calibri" w:cs="Calibri"/>
        </w:rPr>
        <w:t>however,</w:t>
      </w:r>
      <w:r>
        <w:rPr>
          <w:rFonts w:ascii="Calibri" w:hAnsi="Calibri" w:cs="Calibri"/>
        </w:rPr>
        <w:t xml:space="preserve"> </w:t>
      </w:r>
      <w:r w:rsidRPr="008D300A">
        <w:rPr>
          <w:rFonts w:ascii="Calibri" w:hAnsi="Calibri" w:cs="Calibri"/>
        </w:rPr>
        <w:t xml:space="preserve">disinfectant efficacy against </w:t>
      </w:r>
      <w:r w:rsidRPr="00997CFB">
        <w:rPr>
          <w:rFonts w:ascii="Calibri" w:hAnsi="Calibri" w:cs="Calibri"/>
          <w:i/>
          <w:iCs/>
        </w:rPr>
        <w:t xml:space="preserve">E. </w:t>
      </w:r>
      <w:proofErr w:type="spellStart"/>
      <w:r w:rsidRPr="00997CFB">
        <w:rPr>
          <w:rFonts w:ascii="Calibri" w:hAnsi="Calibri" w:cs="Calibri"/>
          <w:i/>
          <w:iCs/>
        </w:rPr>
        <w:t>testavorans</w:t>
      </w:r>
      <w:proofErr w:type="spellEnd"/>
      <w:r>
        <w:rPr>
          <w:rFonts w:ascii="Calibri" w:hAnsi="Calibri" w:cs="Calibri"/>
        </w:rPr>
        <w:t xml:space="preserve"> </w:t>
      </w:r>
      <w:r w:rsidRPr="008D300A">
        <w:rPr>
          <w:rFonts w:ascii="Calibri" w:hAnsi="Calibri" w:cs="Calibri"/>
        </w:rPr>
        <w:t xml:space="preserve">is unknown. This study </w:t>
      </w:r>
      <w:r w:rsidRPr="00997CFB">
        <w:rPr>
          <w:rFonts w:ascii="Calibri" w:hAnsi="Calibri" w:cs="Calibri"/>
          <w:b/>
          <w:bCs/>
        </w:rPr>
        <w:t xml:space="preserve">determined the in vitro efficacy of 13 disinfectants across a range of concentrations and exposure times used in veterinary, wildlife, and environmental settings against </w:t>
      </w:r>
      <w:r w:rsidRPr="00997CFB">
        <w:rPr>
          <w:rFonts w:ascii="Calibri" w:hAnsi="Calibri" w:cs="Calibri"/>
          <w:b/>
          <w:bCs/>
          <w:i/>
          <w:iCs/>
        </w:rPr>
        <w:t xml:space="preserve">E. </w:t>
      </w:r>
      <w:proofErr w:type="spellStart"/>
      <w:r w:rsidRPr="00997CFB">
        <w:rPr>
          <w:rFonts w:ascii="Calibri" w:hAnsi="Calibri" w:cs="Calibri"/>
          <w:b/>
          <w:bCs/>
          <w:i/>
          <w:iCs/>
        </w:rPr>
        <w:t>testavorans</w:t>
      </w:r>
      <w:proofErr w:type="spellEnd"/>
      <w:r w:rsidRPr="008D300A">
        <w:rPr>
          <w:rFonts w:ascii="Calibri" w:hAnsi="Calibri" w:cs="Calibri"/>
        </w:rPr>
        <w:t xml:space="preserve">. Pure </w:t>
      </w:r>
      <w:r w:rsidRPr="00997CFB">
        <w:rPr>
          <w:rFonts w:ascii="Calibri" w:hAnsi="Calibri" w:cs="Calibri"/>
          <w:i/>
          <w:iCs/>
        </w:rPr>
        <w:t xml:space="preserve">E. </w:t>
      </w:r>
      <w:proofErr w:type="spellStart"/>
      <w:r w:rsidRPr="00997CFB">
        <w:rPr>
          <w:rFonts w:ascii="Calibri" w:hAnsi="Calibri" w:cs="Calibri"/>
          <w:i/>
          <w:iCs/>
        </w:rPr>
        <w:t>testavorans</w:t>
      </w:r>
      <w:proofErr w:type="spellEnd"/>
      <w:r w:rsidRPr="008D300A">
        <w:rPr>
          <w:rFonts w:ascii="Calibri" w:hAnsi="Calibri" w:cs="Calibri"/>
        </w:rPr>
        <w:t xml:space="preserve"> culture material</w:t>
      </w:r>
      <w:r>
        <w:rPr>
          <w:rFonts w:ascii="Calibri" w:hAnsi="Calibri" w:cs="Calibri"/>
        </w:rPr>
        <w:t xml:space="preserve"> </w:t>
      </w:r>
      <w:r w:rsidRPr="008D300A">
        <w:rPr>
          <w:rFonts w:ascii="Calibri" w:hAnsi="Calibri" w:cs="Calibri"/>
        </w:rPr>
        <w:t>was exposed to each disinfectant at manufacturer</w:t>
      </w:r>
      <w:r>
        <w:rPr>
          <w:rFonts w:ascii="Calibri" w:hAnsi="Calibri" w:cs="Calibri"/>
        </w:rPr>
        <w:t xml:space="preserve"> </w:t>
      </w:r>
      <w:r w:rsidRPr="008D300A">
        <w:rPr>
          <w:rFonts w:ascii="Calibri" w:hAnsi="Calibri" w:cs="Calibri"/>
        </w:rPr>
        <w:t>recommended</w:t>
      </w:r>
      <w:r>
        <w:rPr>
          <w:rFonts w:ascii="Calibri" w:hAnsi="Calibri" w:cs="Calibri"/>
        </w:rPr>
        <w:t xml:space="preserve"> </w:t>
      </w:r>
      <w:r w:rsidRPr="008D300A">
        <w:rPr>
          <w:rFonts w:ascii="Calibri" w:hAnsi="Calibri" w:cs="Calibri"/>
        </w:rPr>
        <w:t>concentration and exposure times in</w:t>
      </w:r>
      <w:r>
        <w:rPr>
          <w:rFonts w:ascii="Calibri" w:hAnsi="Calibri" w:cs="Calibri"/>
        </w:rPr>
        <w:t xml:space="preserve"> </w:t>
      </w:r>
      <w:r w:rsidRPr="008D300A">
        <w:rPr>
          <w:rFonts w:ascii="Calibri" w:hAnsi="Calibri" w:cs="Calibri"/>
        </w:rPr>
        <w:t>triplicate. Disinfectant was removed via centrifugation</w:t>
      </w:r>
      <w:r>
        <w:rPr>
          <w:rFonts w:ascii="Calibri" w:hAnsi="Calibri" w:cs="Calibri"/>
        </w:rPr>
        <w:t xml:space="preserve"> </w:t>
      </w:r>
      <w:r w:rsidRPr="008D300A">
        <w:rPr>
          <w:rFonts w:ascii="Calibri" w:hAnsi="Calibri" w:cs="Calibri"/>
        </w:rPr>
        <w:t>and cultures were inoculated onto inhibitory</w:t>
      </w:r>
      <w:r>
        <w:rPr>
          <w:rFonts w:ascii="Calibri" w:hAnsi="Calibri" w:cs="Calibri"/>
        </w:rPr>
        <w:t xml:space="preserve"> </w:t>
      </w:r>
      <w:r w:rsidRPr="008D300A">
        <w:rPr>
          <w:rFonts w:ascii="Calibri" w:hAnsi="Calibri" w:cs="Calibri"/>
        </w:rPr>
        <w:t>media plates, maintained at room temperature (20–22 C), and examined weekly for fungal growth.</w:t>
      </w:r>
      <w:r>
        <w:rPr>
          <w:rFonts w:ascii="Calibri" w:hAnsi="Calibri" w:cs="Calibri"/>
        </w:rPr>
        <w:t xml:space="preserve"> </w:t>
      </w:r>
      <w:r w:rsidRPr="008D300A">
        <w:rPr>
          <w:rFonts w:ascii="Calibri" w:hAnsi="Calibri" w:cs="Calibri"/>
        </w:rPr>
        <w:t xml:space="preserve">After 6 </w:t>
      </w:r>
      <w:proofErr w:type="spellStart"/>
      <w:r w:rsidRPr="008D300A">
        <w:rPr>
          <w:rFonts w:ascii="Calibri" w:hAnsi="Calibri" w:cs="Calibri"/>
        </w:rPr>
        <w:t>wk</w:t>
      </w:r>
      <w:proofErr w:type="spellEnd"/>
      <w:r w:rsidRPr="008D300A">
        <w:rPr>
          <w:rFonts w:ascii="Calibri" w:hAnsi="Calibri" w:cs="Calibri"/>
        </w:rPr>
        <w:t xml:space="preserve"> of incubation, </w:t>
      </w:r>
      <w:r w:rsidRPr="00997CFB">
        <w:rPr>
          <w:rFonts w:ascii="Calibri" w:hAnsi="Calibri" w:cs="Calibri"/>
          <w:b/>
          <w:bCs/>
        </w:rPr>
        <w:t xml:space="preserve">ethanol, </w:t>
      </w:r>
      <w:proofErr w:type="spellStart"/>
      <w:r w:rsidRPr="00997CFB">
        <w:rPr>
          <w:rFonts w:ascii="Calibri" w:hAnsi="Calibri" w:cs="Calibri"/>
          <w:b/>
          <w:bCs/>
        </w:rPr>
        <w:t>Virkon</w:t>
      </w:r>
      <w:proofErr w:type="spellEnd"/>
      <w:r w:rsidRPr="00997CFB">
        <w:rPr>
          <w:rFonts w:ascii="Calibri" w:hAnsi="Calibri" w:cs="Calibri"/>
          <w:b/>
          <w:bCs/>
        </w:rPr>
        <w:t xml:space="preserve"> S (active ingredient potassium </w:t>
      </w:r>
      <w:proofErr w:type="spellStart"/>
      <w:r w:rsidRPr="00997CFB">
        <w:rPr>
          <w:rFonts w:ascii="Calibri" w:hAnsi="Calibri" w:cs="Calibri"/>
          <w:b/>
          <w:bCs/>
        </w:rPr>
        <w:t>peroxymonosulfate</w:t>
      </w:r>
      <w:proofErr w:type="spellEnd"/>
      <w:r w:rsidRPr="00997CFB">
        <w:rPr>
          <w:rFonts w:ascii="Calibri" w:hAnsi="Calibri" w:cs="Calibri"/>
          <w:b/>
          <w:bCs/>
        </w:rPr>
        <w:t xml:space="preserve"> 21.41%), benzalkonium chloride, and desiccation proved ineffective at completely inhibiting fungal growth</w:t>
      </w:r>
      <w:r w:rsidRPr="008D300A">
        <w:rPr>
          <w:rFonts w:ascii="Calibri" w:hAnsi="Calibri" w:cs="Calibri"/>
        </w:rPr>
        <w:t>.</w:t>
      </w:r>
      <w:r>
        <w:rPr>
          <w:rFonts w:ascii="Calibri" w:hAnsi="Calibri" w:cs="Calibri"/>
        </w:rPr>
        <w:t xml:space="preserve"> </w:t>
      </w:r>
      <w:r w:rsidRPr="00997CFB">
        <w:rPr>
          <w:rFonts w:ascii="Calibri" w:hAnsi="Calibri" w:cs="Calibri"/>
          <w:b/>
          <w:bCs/>
        </w:rPr>
        <w:t>All other agents, including bleach, chlorhexidine, and accelerated hydrogen peroxides, effectively inhibited fungal growth</w:t>
      </w:r>
      <w:r w:rsidRPr="008D300A">
        <w:rPr>
          <w:rFonts w:ascii="Calibri" w:hAnsi="Calibri" w:cs="Calibri"/>
        </w:rPr>
        <w:t>. These data suggest that</w:t>
      </w:r>
      <w:r>
        <w:rPr>
          <w:rFonts w:ascii="Calibri" w:hAnsi="Calibri" w:cs="Calibri"/>
        </w:rPr>
        <w:t xml:space="preserve"> </w:t>
      </w:r>
      <w:r w:rsidRPr="008D300A">
        <w:rPr>
          <w:rFonts w:ascii="Calibri" w:hAnsi="Calibri" w:cs="Calibri"/>
        </w:rPr>
        <w:t>several effective disinfection options are available</w:t>
      </w:r>
      <w:r>
        <w:rPr>
          <w:rFonts w:ascii="Calibri" w:hAnsi="Calibri" w:cs="Calibri"/>
        </w:rPr>
        <w:t xml:space="preserve"> </w:t>
      </w:r>
      <w:r w:rsidRPr="008D300A">
        <w:rPr>
          <w:rFonts w:ascii="Calibri" w:hAnsi="Calibri" w:cs="Calibri"/>
        </w:rPr>
        <w:t>for use against</w:t>
      </w:r>
      <w:r w:rsidRPr="00997CFB">
        <w:rPr>
          <w:rFonts w:ascii="Calibri" w:hAnsi="Calibri" w:cs="Calibri"/>
          <w:i/>
          <w:iCs/>
        </w:rPr>
        <w:t xml:space="preserve"> E. </w:t>
      </w:r>
      <w:proofErr w:type="spellStart"/>
      <w:r w:rsidRPr="00997CFB">
        <w:rPr>
          <w:rFonts w:ascii="Calibri" w:hAnsi="Calibri" w:cs="Calibri"/>
          <w:i/>
          <w:iCs/>
        </w:rPr>
        <w:t>testavorans</w:t>
      </w:r>
      <w:proofErr w:type="spellEnd"/>
      <w:r w:rsidRPr="00997CFB">
        <w:rPr>
          <w:rFonts w:ascii="Calibri" w:hAnsi="Calibri" w:cs="Calibri"/>
          <w:i/>
          <w:iCs/>
        </w:rPr>
        <w:t xml:space="preserve">. </w:t>
      </w:r>
      <w:r w:rsidRPr="008D300A">
        <w:rPr>
          <w:rFonts w:ascii="Calibri" w:hAnsi="Calibri" w:cs="Calibri"/>
        </w:rPr>
        <w:t>These findings can be</w:t>
      </w:r>
      <w:r>
        <w:rPr>
          <w:rFonts w:ascii="Calibri" w:hAnsi="Calibri" w:cs="Calibri"/>
        </w:rPr>
        <w:t xml:space="preserve"> </w:t>
      </w:r>
      <w:r w:rsidRPr="008D300A">
        <w:rPr>
          <w:rFonts w:ascii="Calibri" w:hAnsi="Calibri" w:cs="Calibri"/>
        </w:rPr>
        <w:t>used in managed care and field settings to reduce</w:t>
      </w:r>
      <w:r>
        <w:rPr>
          <w:rFonts w:ascii="Calibri" w:hAnsi="Calibri" w:cs="Calibri"/>
        </w:rPr>
        <w:t xml:space="preserve"> </w:t>
      </w:r>
      <w:r w:rsidRPr="008D300A">
        <w:rPr>
          <w:rFonts w:ascii="Calibri" w:hAnsi="Calibri" w:cs="Calibri"/>
        </w:rPr>
        <w:t xml:space="preserve">transmission of </w:t>
      </w:r>
      <w:r w:rsidRPr="00997CFB">
        <w:rPr>
          <w:rFonts w:ascii="Calibri" w:hAnsi="Calibri" w:cs="Calibri"/>
          <w:i/>
          <w:iCs/>
        </w:rPr>
        <w:t xml:space="preserve">E. </w:t>
      </w:r>
      <w:proofErr w:type="spellStart"/>
      <w:r w:rsidRPr="00997CFB">
        <w:rPr>
          <w:rFonts w:ascii="Calibri" w:hAnsi="Calibri" w:cs="Calibri"/>
          <w:i/>
          <w:iCs/>
        </w:rPr>
        <w:t>testavorans</w:t>
      </w:r>
      <w:proofErr w:type="spellEnd"/>
      <w:r w:rsidRPr="008D300A">
        <w:rPr>
          <w:rFonts w:ascii="Calibri" w:hAnsi="Calibri" w:cs="Calibri"/>
        </w:rPr>
        <w:t xml:space="preserve"> between turtles</w:t>
      </w:r>
      <w:r>
        <w:rPr>
          <w:rFonts w:ascii="Calibri" w:hAnsi="Calibri" w:cs="Calibri"/>
        </w:rPr>
        <w:t xml:space="preserve"> </w:t>
      </w:r>
      <w:r w:rsidRPr="008D300A">
        <w:rPr>
          <w:rFonts w:ascii="Calibri" w:hAnsi="Calibri" w:cs="Calibri"/>
        </w:rPr>
        <w:t>through contaminated surfaces and equipment.</w:t>
      </w:r>
    </w:p>
    <w:p w14:paraId="70C67C70" w14:textId="77777777" w:rsidR="00DF5F8D" w:rsidRDefault="00DF5F8D" w:rsidP="00DF5F8D">
      <w:pPr>
        <w:autoSpaceDE w:val="0"/>
        <w:autoSpaceDN w:val="0"/>
        <w:adjustRightInd w:val="0"/>
        <w:spacing w:line="240" w:lineRule="auto"/>
        <w:rPr>
          <w:rFonts w:ascii="Calibri" w:hAnsi="Calibri" w:cs="Calibri"/>
        </w:rPr>
      </w:pPr>
    </w:p>
    <w:p w14:paraId="09A0D21F"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Turtles in managed care have highest prevalence of </w:t>
      </w:r>
      <w:proofErr w:type="spellStart"/>
      <w:r>
        <w:rPr>
          <w:rFonts w:ascii="Calibri" w:hAnsi="Calibri" w:cs="Calibri"/>
        </w:rPr>
        <w:t>emydomycosis</w:t>
      </w:r>
      <w:proofErr w:type="spellEnd"/>
    </w:p>
    <w:p w14:paraId="79A9A56F" w14:textId="77777777" w:rsidR="00DF5F8D" w:rsidRDefault="00DF5F8D" w:rsidP="00DF5F8D">
      <w:pPr>
        <w:autoSpaceDE w:val="0"/>
        <w:autoSpaceDN w:val="0"/>
        <w:adjustRightInd w:val="0"/>
        <w:spacing w:line="240" w:lineRule="auto"/>
        <w:rPr>
          <w:rFonts w:ascii="Calibri" w:hAnsi="Calibri" w:cs="Calibri"/>
        </w:rPr>
      </w:pPr>
    </w:p>
    <w:p w14:paraId="7C3C79AC" w14:textId="77777777" w:rsidR="00DF5F8D" w:rsidRPr="001732F8" w:rsidRDefault="00DF5F8D" w:rsidP="00DF5F8D">
      <w:pPr>
        <w:autoSpaceDE w:val="0"/>
        <w:autoSpaceDN w:val="0"/>
        <w:adjustRightInd w:val="0"/>
        <w:spacing w:line="240" w:lineRule="auto"/>
        <w:rPr>
          <w:rFonts w:ascii="Calibri" w:hAnsi="Calibri" w:cs="Calibri"/>
          <w:b/>
          <w:bCs/>
        </w:rPr>
      </w:pPr>
      <w:r w:rsidRPr="001732F8">
        <w:rPr>
          <w:rFonts w:ascii="Calibri" w:hAnsi="Calibri" w:cs="Calibri"/>
          <w:b/>
          <w:bCs/>
        </w:rPr>
        <w:t>Key Points:</w:t>
      </w:r>
    </w:p>
    <w:p w14:paraId="3714C07C"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Colonies of E. </w:t>
      </w:r>
      <w:proofErr w:type="spellStart"/>
      <w:r>
        <w:rPr>
          <w:rFonts w:ascii="Calibri" w:hAnsi="Calibri" w:cs="Calibri"/>
        </w:rPr>
        <w:t>testavorans</w:t>
      </w:r>
      <w:proofErr w:type="spellEnd"/>
      <w:r>
        <w:rPr>
          <w:rFonts w:ascii="Calibri" w:hAnsi="Calibri" w:cs="Calibri"/>
        </w:rPr>
        <w:t xml:space="preserve"> exposed to disinfectant method per manufacturer recommendations, and then re-plated and monitored for 6wk</w:t>
      </w:r>
    </w:p>
    <w:p w14:paraId="32291869"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Bleach (6% Na hypochlorite) at 3% and 10% dilutions inhibited growth after 1min</w:t>
      </w:r>
    </w:p>
    <w:p w14:paraId="6D9A32EF"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Rescue: accelerated H2O2, effective against </w:t>
      </w:r>
      <w:r w:rsidRPr="001732F8">
        <w:rPr>
          <w:rFonts w:ascii="Calibri" w:hAnsi="Calibri" w:cs="Calibri"/>
          <w:i/>
          <w:iCs/>
        </w:rPr>
        <w:t xml:space="preserve">M. </w:t>
      </w:r>
      <w:proofErr w:type="spellStart"/>
      <w:r w:rsidRPr="001732F8">
        <w:rPr>
          <w:rFonts w:ascii="Calibri" w:hAnsi="Calibri" w:cs="Calibri"/>
          <w:i/>
          <w:iCs/>
        </w:rPr>
        <w:t>canis</w:t>
      </w:r>
      <w:proofErr w:type="spellEnd"/>
      <w:r>
        <w:rPr>
          <w:rFonts w:ascii="Calibri" w:hAnsi="Calibri" w:cs="Calibri"/>
        </w:rPr>
        <w:t xml:space="preserve"> and </w:t>
      </w:r>
      <w:r w:rsidRPr="001732F8">
        <w:rPr>
          <w:rFonts w:ascii="Calibri" w:hAnsi="Calibri" w:cs="Calibri"/>
          <w:i/>
          <w:iCs/>
        </w:rPr>
        <w:t>Trichophyton</w:t>
      </w:r>
      <w:r>
        <w:rPr>
          <w:rFonts w:ascii="Calibri" w:hAnsi="Calibri" w:cs="Calibri"/>
        </w:rPr>
        <w:t xml:space="preserve"> spp</w:t>
      </w:r>
      <w:r w:rsidRPr="001732F8">
        <w:rPr>
          <w:rFonts w:ascii="Calibri" w:hAnsi="Calibri" w:cs="Calibri"/>
          <w:i/>
          <w:iCs/>
        </w:rPr>
        <w:t xml:space="preserve">. E. </w:t>
      </w:r>
      <w:proofErr w:type="spellStart"/>
      <w:r w:rsidRPr="001732F8">
        <w:rPr>
          <w:rFonts w:ascii="Calibri" w:hAnsi="Calibri" w:cs="Calibri"/>
          <w:i/>
          <w:iCs/>
        </w:rPr>
        <w:t>testavorans</w:t>
      </w:r>
      <w:proofErr w:type="spellEnd"/>
      <w:r>
        <w:rPr>
          <w:rFonts w:ascii="Calibri" w:hAnsi="Calibri" w:cs="Calibri"/>
        </w:rPr>
        <w:t xml:space="preserve"> inactivated after 2min</w:t>
      </w:r>
    </w:p>
    <w:p w14:paraId="4FA0DCE8"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Povidone-iodine: iodine not shown to inhibit growth of other reptile fungi, betadine inhibited </w:t>
      </w:r>
      <w:r w:rsidRPr="00081D1F">
        <w:rPr>
          <w:rFonts w:ascii="Calibri" w:hAnsi="Calibri" w:cs="Calibri"/>
          <w:i/>
          <w:iCs/>
        </w:rPr>
        <w:t>E.</w:t>
      </w:r>
      <w:r>
        <w:rPr>
          <w:rFonts w:ascii="Calibri" w:hAnsi="Calibri" w:cs="Calibri"/>
        </w:rPr>
        <w:t xml:space="preserve"> </w:t>
      </w:r>
      <w:proofErr w:type="spellStart"/>
      <w:r w:rsidRPr="00081D1F">
        <w:rPr>
          <w:rFonts w:ascii="Calibri" w:hAnsi="Calibri" w:cs="Calibri"/>
          <w:i/>
          <w:iCs/>
        </w:rPr>
        <w:t>testavorans</w:t>
      </w:r>
      <w:proofErr w:type="spellEnd"/>
      <w:r>
        <w:rPr>
          <w:rFonts w:ascii="Calibri" w:hAnsi="Calibri" w:cs="Calibri"/>
        </w:rPr>
        <w:t xml:space="preserve"> at full strength</w:t>
      </w:r>
    </w:p>
    <w:p w14:paraId="69478147"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Chlorhexidine diacetate 2%: little efficacy against other </w:t>
      </w:r>
      <w:proofErr w:type="spellStart"/>
      <w:r>
        <w:rPr>
          <w:rFonts w:ascii="Calibri" w:hAnsi="Calibri" w:cs="Calibri"/>
        </w:rPr>
        <w:t>onygenalean</w:t>
      </w:r>
      <w:proofErr w:type="spellEnd"/>
      <w:r>
        <w:rPr>
          <w:rFonts w:ascii="Calibri" w:hAnsi="Calibri" w:cs="Calibri"/>
        </w:rPr>
        <w:t xml:space="preserve"> fungi but completely inhibited </w:t>
      </w:r>
      <w:r w:rsidRPr="00081D1F">
        <w:rPr>
          <w:rFonts w:ascii="Calibri" w:hAnsi="Calibri" w:cs="Calibri"/>
          <w:i/>
          <w:iCs/>
        </w:rPr>
        <w:t xml:space="preserve">E. </w:t>
      </w:r>
      <w:proofErr w:type="spellStart"/>
      <w:r w:rsidRPr="00081D1F">
        <w:rPr>
          <w:rFonts w:ascii="Calibri" w:hAnsi="Calibri" w:cs="Calibri"/>
          <w:i/>
          <w:iCs/>
        </w:rPr>
        <w:t>testavorans</w:t>
      </w:r>
      <w:proofErr w:type="spellEnd"/>
      <w:r>
        <w:rPr>
          <w:rFonts w:ascii="Calibri" w:hAnsi="Calibri" w:cs="Calibri"/>
        </w:rPr>
        <w:t xml:space="preserve"> after 1min</w:t>
      </w:r>
    </w:p>
    <w:p w14:paraId="77376831"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Quaternary ammonium compounds: F10 ineffective against environmental contamination of </w:t>
      </w:r>
      <w:r w:rsidRPr="008A4AC5">
        <w:rPr>
          <w:rFonts w:ascii="Calibri" w:hAnsi="Calibri" w:cs="Calibri"/>
          <w:i/>
          <w:iCs/>
        </w:rPr>
        <w:t>N.</w:t>
      </w:r>
      <w:r>
        <w:rPr>
          <w:rFonts w:ascii="Calibri" w:hAnsi="Calibri" w:cs="Calibri"/>
        </w:rPr>
        <w:t xml:space="preserve"> </w:t>
      </w:r>
      <w:proofErr w:type="spellStart"/>
      <w:r w:rsidRPr="008A4AC5">
        <w:rPr>
          <w:rFonts w:ascii="Calibri" w:hAnsi="Calibri" w:cs="Calibri"/>
          <w:i/>
          <w:iCs/>
        </w:rPr>
        <w:t>guarroi</w:t>
      </w:r>
      <w:proofErr w:type="spellEnd"/>
      <w:r>
        <w:rPr>
          <w:rFonts w:ascii="Calibri" w:hAnsi="Calibri" w:cs="Calibri"/>
        </w:rPr>
        <w:t xml:space="preserve"> at 1:250 conc after 10 min; F10 at 1:250 conc inhibited </w:t>
      </w:r>
      <w:r w:rsidRPr="008A4AC5">
        <w:rPr>
          <w:rFonts w:ascii="Calibri" w:hAnsi="Calibri" w:cs="Calibri"/>
          <w:i/>
          <w:iCs/>
        </w:rPr>
        <w:t xml:space="preserve">E. </w:t>
      </w:r>
      <w:proofErr w:type="spellStart"/>
      <w:r w:rsidRPr="008A4AC5">
        <w:rPr>
          <w:rFonts w:ascii="Calibri" w:hAnsi="Calibri" w:cs="Calibri"/>
          <w:i/>
          <w:iCs/>
        </w:rPr>
        <w:t>testavorans</w:t>
      </w:r>
      <w:proofErr w:type="spellEnd"/>
      <w:r>
        <w:rPr>
          <w:rFonts w:ascii="Calibri" w:hAnsi="Calibri" w:cs="Calibri"/>
        </w:rPr>
        <w:t xml:space="preserve"> after 2 min</w:t>
      </w:r>
    </w:p>
    <w:p w14:paraId="23A5131E" w14:textId="77777777" w:rsidR="00DF5F8D" w:rsidRDefault="00DF5F8D" w:rsidP="00DF5F8D">
      <w:pPr>
        <w:pStyle w:val="ListParagraph"/>
        <w:numPr>
          <w:ilvl w:val="1"/>
          <w:numId w:val="15"/>
        </w:numPr>
        <w:autoSpaceDE w:val="0"/>
        <w:autoSpaceDN w:val="0"/>
        <w:adjustRightInd w:val="0"/>
        <w:spacing w:after="0" w:line="240" w:lineRule="auto"/>
        <w:rPr>
          <w:rFonts w:ascii="Calibri" w:hAnsi="Calibri" w:cs="Calibri"/>
        </w:rPr>
      </w:pPr>
      <w:proofErr w:type="spellStart"/>
      <w:r>
        <w:rPr>
          <w:rFonts w:ascii="Calibri" w:hAnsi="Calibri" w:cs="Calibri"/>
        </w:rPr>
        <w:t>Roccal</w:t>
      </w:r>
      <w:proofErr w:type="spellEnd"/>
      <w:r>
        <w:rPr>
          <w:rFonts w:ascii="Calibri" w:hAnsi="Calibri" w:cs="Calibri"/>
        </w:rPr>
        <w:t>-D Plus inhibited at 2 and 10 min, but known to be toxic to aquatic organisms</w:t>
      </w:r>
    </w:p>
    <w:p w14:paraId="0EDB2E5C" w14:textId="77777777" w:rsidR="00DF5F8D" w:rsidRDefault="00DF5F8D" w:rsidP="00DF5F8D">
      <w:pPr>
        <w:pStyle w:val="ListParagraph"/>
        <w:numPr>
          <w:ilvl w:val="1"/>
          <w:numId w:val="15"/>
        </w:numPr>
        <w:autoSpaceDE w:val="0"/>
        <w:autoSpaceDN w:val="0"/>
        <w:adjustRightInd w:val="0"/>
        <w:spacing w:after="0" w:line="240" w:lineRule="auto"/>
        <w:rPr>
          <w:rFonts w:ascii="Calibri" w:hAnsi="Calibri" w:cs="Calibri"/>
        </w:rPr>
      </w:pPr>
      <w:r>
        <w:rPr>
          <w:rFonts w:ascii="Calibri" w:hAnsi="Calibri" w:cs="Calibri"/>
        </w:rPr>
        <w:t xml:space="preserve">Lysol: inhibited </w:t>
      </w:r>
      <w:r w:rsidRPr="007360E6">
        <w:rPr>
          <w:rFonts w:ascii="Calibri" w:hAnsi="Calibri" w:cs="Calibri"/>
          <w:i/>
          <w:iCs/>
        </w:rPr>
        <w:t xml:space="preserve">E. </w:t>
      </w:r>
      <w:proofErr w:type="spellStart"/>
      <w:r w:rsidRPr="007360E6">
        <w:rPr>
          <w:rFonts w:ascii="Calibri" w:hAnsi="Calibri" w:cs="Calibri"/>
          <w:i/>
          <w:iCs/>
        </w:rPr>
        <w:t>testavorans</w:t>
      </w:r>
      <w:proofErr w:type="spellEnd"/>
      <w:r>
        <w:rPr>
          <w:rFonts w:ascii="Calibri" w:hAnsi="Calibri" w:cs="Calibri"/>
        </w:rPr>
        <w:t xml:space="preserve"> in 2 min</w:t>
      </w:r>
    </w:p>
    <w:p w14:paraId="098E2557" w14:textId="77777777" w:rsidR="00DF5F8D" w:rsidRDefault="00DF5F8D" w:rsidP="00DF5F8D">
      <w:pPr>
        <w:pStyle w:val="ListParagraph"/>
        <w:numPr>
          <w:ilvl w:val="1"/>
          <w:numId w:val="15"/>
        </w:numPr>
        <w:autoSpaceDE w:val="0"/>
        <w:autoSpaceDN w:val="0"/>
        <w:adjustRightInd w:val="0"/>
        <w:spacing w:after="0" w:line="240" w:lineRule="auto"/>
        <w:rPr>
          <w:rFonts w:ascii="Calibri" w:hAnsi="Calibri" w:cs="Calibri"/>
        </w:rPr>
      </w:pPr>
      <w:r>
        <w:rPr>
          <w:rFonts w:ascii="Calibri" w:hAnsi="Calibri" w:cs="Calibri"/>
        </w:rPr>
        <w:t>Benzalkonium chloride: only QAC that failed to inhibit, fungal growth inhibited until 28d</w:t>
      </w:r>
      <w:r w:rsidRPr="007360E6">
        <w:rPr>
          <w:rFonts w:ascii="Calibri" w:hAnsi="Calibri" w:cs="Calibri"/>
        </w:rPr>
        <w:sym w:font="Wingdings" w:char="F0E0"/>
      </w:r>
      <w:r>
        <w:rPr>
          <w:rFonts w:ascii="Calibri" w:hAnsi="Calibri" w:cs="Calibri"/>
        </w:rPr>
        <w:t>think fungistatic</w:t>
      </w:r>
    </w:p>
    <w:p w14:paraId="2D3B2AA3"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proofErr w:type="spellStart"/>
      <w:r>
        <w:rPr>
          <w:rFonts w:ascii="Calibri" w:hAnsi="Calibri" w:cs="Calibri"/>
        </w:rPr>
        <w:t>Virkon</w:t>
      </w:r>
      <w:proofErr w:type="spellEnd"/>
      <w:r>
        <w:rPr>
          <w:rFonts w:ascii="Calibri" w:hAnsi="Calibri" w:cs="Calibri"/>
        </w:rPr>
        <w:t xml:space="preserve"> S 1%: no complete inhibition of fungal growth, 10 min exposure inhibited colony growth until 28d (fungistatic), may need higher conc</w:t>
      </w:r>
    </w:p>
    <w:p w14:paraId="51DF7340" w14:textId="77777777" w:rsidR="00DF5F8D"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rPr>
        <w:t xml:space="preserve">Desiccation: for at least 3h kills </w:t>
      </w:r>
      <w:r w:rsidRPr="007360E6">
        <w:rPr>
          <w:rFonts w:ascii="Calibri" w:hAnsi="Calibri" w:cs="Calibri"/>
          <w:i/>
          <w:iCs/>
        </w:rPr>
        <w:t xml:space="preserve">B. </w:t>
      </w:r>
      <w:proofErr w:type="spellStart"/>
      <w:r w:rsidRPr="007360E6">
        <w:rPr>
          <w:rFonts w:ascii="Calibri" w:hAnsi="Calibri" w:cs="Calibri"/>
          <w:i/>
          <w:iCs/>
        </w:rPr>
        <w:t>dendrobatidis</w:t>
      </w:r>
      <w:proofErr w:type="spellEnd"/>
      <w:r>
        <w:rPr>
          <w:rFonts w:ascii="Calibri" w:hAnsi="Calibri" w:cs="Calibri"/>
        </w:rPr>
        <w:t xml:space="preserve">, </w:t>
      </w:r>
      <w:r w:rsidRPr="00B32EA0">
        <w:rPr>
          <w:rFonts w:ascii="Calibri" w:hAnsi="Calibri" w:cs="Calibri"/>
          <w:i/>
          <w:iCs/>
        </w:rPr>
        <w:t xml:space="preserve">E. </w:t>
      </w:r>
      <w:proofErr w:type="spellStart"/>
      <w:r w:rsidRPr="00B32EA0">
        <w:rPr>
          <w:rFonts w:ascii="Calibri" w:hAnsi="Calibri" w:cs="Calibri"/>
          <w:i/>
          <w:iCs/>
        </w:rPr>
        <w:t>testavorans</w:t>
      </w:r>
      <w:proofErr w:type="spellEnd"/>
      <w:r>
        <w:rPr>
          <w:rFonts w:ascii="Calibri" w:hAnsi="Calibri" w:cs="Calibri"/>
        </w:rPr>
        <w:t xml:space="preserve"> seen growing after </w:t>
      </w:r>
      <w:proofErr w:type="spellStart"/>
      <w:r>
        <w:rPr>
          <w:rFonts w:ascii="Calibri" w:hAnsi="Calibri" w:cs="Calibri"/>
        </w:rPr>
        <w:t>dessication</w:t>
      </w:r>
      <w:proofErr w:type="spellEnd"/>
      <w:r>
        <w:rPr>
          <w:rFonts w:ascii="Calibri" w:hAnsi="Calibri" w:cs="Calibri"/>
        </w:rPr>
        <w:t xml:space="preserve"> for 24h, not recommended; </w:t>
      </w:r>
      <w:r w:rsidRPr="007360E6">
        <w:rPr>
          <w:rFonts w:ascii="Calibri" w:hAnsi="Calibri" w:cs="Calibri"/>
        </w:rPr>
        <w:t>60C for 5min inhibited fungus</w:t>
      </w:r>
    </w:p>
    <w:p w14:paraId="04553565" w14:textId="77777777" w:rsidR="00DF5F8D" w:rsidRDefault="00DF5F8D" w:rsidP="00DF5F8D">
      <w:pPr>
        <w:autoSpaceDE w:val="0"/>
        <w:autoSpaceDN w:val="0"/>
        <w:adjustRightInd w:val="0"/>
        <w:spacing w:line="240" w:lineRule="auto"/>
        <w:rPr>
          <w:rFonts w:ascii="Calibri" w:hAnsi="Calibri" w:cs="Calibri"/>
        </w:rPr>
      </w:pPr>
    </w:p>
    <w:p w14:paraId="53EE20AF" w14:textId="77777777" w:rsidR="00DF5F8D" w:rsidRDefault="00DF5F8D" w:rsidP="00DF5F8D">
      <w:pPr>
        <w:autoSpaceDE w:val="0"/>
        <w:autoSpaceDN w:val="0"/>
        <w:adjustRightInd w:val="0"/>
        <w:spacing w:line="240" w:lineRule="auto"/>
        <w:rPr>
          <w:rFonts w:ascii="Calibri" w:hAnsi="Calibri" w:cs="Calibri"/>
        </w:rPr>
      </w:pPr>
      <w:r>
        <w:rPr>
          <w:rFonts w:ascii="Calibri" w:hAnsi="Calibri" w:cs="Calibri"/>
        </w:rPr>
        <w:t xml:space="preserve">Main take aways: </w:t>
      </w:r>
    </w:p>
    <w:p w14:paraId="7168ADDE" w14:textId="77777777" w:rsidR="00DF5F8D" w:rsidRPr="00EA6472" w:rsidRDefault="00DF5F8D" w:rsidP="00DF5F8D">
      <w:pPr>
        <w:pStyle w:val="ListParagraph"/>
        <w:numPr>
          <w:ilvl w:val="0"/>
          <w:numId w:val="16"/>
        </w:numPr>
        <w:autoSpaceDE w:val="0"/>
        <w:autoSpaceDN w:val="0"/>
        <w:adjustRightInd w:val="0"/>
        <w:spacing w:after="0" w:line="240" w:lineRule="auto"/>
        <w:rPr>
          <w:rFonts w:ascii="Calibri" w:hAnsi="Calibri" w:cs="Calibri"/>
        </w:rPr>
      </w:pPr>
      <w:r w:rsidRPr="00B32EA0">
        <w:rPr>
          <w:rFonts w:ascii="Calibri" w:hAnsi="Calibri" w:cs="Calibri"/>
        </w:rPr>
        <w:lastRenderedPageBreak/>
        <w:t xml:space="preserve">Bleach diluted to 3% or 10%, as well as full-strength Betadine and undiluted Lysol All-Purpose Cleaner, manufacturer-recommended </w:t>
      </w:r>
      <w:proofErr w:type="gramStart"/>
      <w:r w:rsidRPr="00B32EA0">
        <w:rPr>
          <w:rFonts w:ascii="Calibri" w:hAnsi="Calibri" w:cs="Calibri"/>
        </w:rPr>
        <w:t>concentrations</w:t>
      </w:r>
      <w:proofErr w:type="gramEnd"/>
      <w:r w:rsidRPr="00B32EA0">
        <w:rPr>
          <w:rFonts w:ascii="Calibri" w:hAnsi="Calibri" w:cs="Calibri"/>
        </w:rPr>
        <w:t xml:space="preserve"> and exposure times for F10 SC, F10 SCXD, </w:t>
      </w:r>
      <w:proofErr w:type="spellStart"/>
      <w:r w:rsidRPr="00B32EA0">
        <w:rPr>
          <w:rFonts w:ascii="Calibri" w:hAnsi="Calibri" w:cs="Calibri"/>
        </w:rPr>
        <w:t>Roccal</w:t>
      </w:r>
      <w:proofErr w:type="spellEnd"/>
      <w:r w:rsidRPr="00B32EA0">
        <w:rPr>
          <w:rFonts w:ascii="Calibri" w:hAnsi="Calibri" w:cs="Calibri"/>
        </w:rPr>
        <w:t>-D Plus, Rescue, and chlorhexidine, and heating to 60 C</w:t>
      </w:r>
      <w:r>
        <w:rPr>
          <w:rFonts w:ascii="Calibri" w:hAnsi="Calibri" w:cs="Calibri"/>
        </w:rPr>
        <w:t xml:space="preserve"> eliminated </w:t>
      </w:r>
      <w:r w:rsidRPr="00B32EA0">
        <w:rPr>
          <w:rFonts w:ascii="Calibri" w:hAnsi="Calibri" w:cs="Calibri"/>
          <w:i/>
          <w:iCs/>
        </w:rPr>
        <w:t xml:space="preserve">E. </w:t>
      </w:r>
      <w:proofErr w:type="spellStart"/>
      <w:r w:rsidRPr="00B32EA0">
        <w:rPr>
          <w:rFonts w:ascii="Calibri" w:hAnsi="Calibri" w:cs="Calibri"/>
          <w:i/>
          <w:iCs/>
        </w:rPr>
        <w:t>testavorans</w:t>
      </w:r>
      <w:proofErr w:type="spellEnd"/>
    </w:p>
    <w:p w14:paraId="57E304C0" w14:textId="77777777" w:rsidR="00DF5F8D" w:rsidRDefault="00DF5F8D" w:rsidP="00DF5F8D">
      <w:pPr>
        <w:pStyle w:val="ListParagraph"/>
        <w:numPr>
          <w:ilvl w:val="0"/>
          <w:numId w:val="16"/>
        </w:numPr>
        <w:autoSpaceDE w:val="0"/>
        <w:autoSpaceDN w:val="0"/>
        <w:adjustRightInd w:val="0"/>
        <w:spacing w:after="0" w:line="240" w:lineRule="auto"/>
        <w:rPr>
          <w:rFonts w:ascii="Calibri" w:hAnsi="Calibri" w:cs="Calibri"/>
        </w:rPr>
      </w:pPr>
      <w:r w:rsidRPr="00EA6472">
        <w:rPr>
          <w:rFonts w:ascii="Calibri" w:hAnsi="Calibri" w:cs="Calibri"/>
        </w:rPr>
        <w:t xml:space="preserve">Benzalkonium chloride, ethanol, </w:t>
      </w:r>
      <w:proofErr w:type="spellStart"/>
      <w:r w:rsidRPr="00EA6472">
        <w:rPr>
          <w:rFonts w:ascii="Calibri" w:hAnsi="Calibri" w:cs="Calibri"/>
        </w:rPr>
        <w:t>Virkon</w:t>
      </w:r>
      <w:proofErr w:type="spellEnd"/>
      <w:r w:rsidRPr="00EA6472">
        <w:rPr>
          <w:rFonts w:ascii="Calibri" w:hAnsi="Calibri" w:cs="Calibri"/>
        </w:rPr>
        <w:t xml:space="preserve"> </w:t>
      </w:r>
      <w:proofErr w:type="gramStart"/>
      <w:r w:rsidRPr="00EA6472">
        <w:rPr>
          <w:rFonts w:ascii="Calibri" w:hAnsi="Calibri" w:cs="Calibri"/>
        </w:rPr>
        <w:t>S</w:t>
      </w:r>
      <w:proofErr w:type="gramEnd"/>
      <w:r w:rsidRPr="00EA6472">
        <w:rPr>
          <w:rFonts w:ascii="Calibri" w:hAnsi="Calibri" w:cs="Calibri"/>
        </w:rPr>
        <w:t xml:space="preserve"> and desiccation did not eliminate all fungal growth</w:t>
      </w:r>
    </w:p>
    <w:p w14:paraId="3B3A1131" w14:textId="77777777" w:rsidR="00DF5F8D" w:rsidRDefault="00DF5F8D" w:rsidP="00DF5F8D">
      <w:pPr>
        <w:pStyle w:val="ListParagraph"/>
        <w:autoSpaceDE w:val="0"/>
        <w:autoSpaceDN w:val="0"/>
        <w:adjustRightInd w:val="0"/>
        <w:spacing w:after="0" w:line="240" w:lineRule="auto"/>
        <w:rPr>
          <w:rFonts w:ascii="Calibri" w:hAnsi="Calibri" w:cs="Calibri"/>
        </w:rPr>
      </w:pPr>
    </w:p>
    <w:p w14:paraId="3DB25DAB" w14:textId="77777777" w:rsidR="00DF5F8D" w:rsidRPr="001732F8" w:rsidRDefault="00DF5F8D" w:rsidP="00DF5F8D">
      <w:pPr>
        <w:pStyle w:val="ListParagraph"/>
        <w:numPr>
          <w:ilvl w:val="0"/>
          <w:numId w:val="15"/>
        </w:numPr>
        <w:autoSpaceDE w:val="0"/>
        <w:autoSpaceDN w:val="0"/>
        <w:adjustRightInd w:val="0"/>
        <w:spacing w:after="0" w:line="240" w:lineRule="auto"/>
        <w:rPr>
          <w:rFonts w:ascii="Calibri" w:hAnsi="Calibri" w:cs="Calibri"/>
        </w:rPr>
      </w:pPr>
      <w:r>
        <w:rPr>
          <w:rFonts w:ascii="Calibri" w:hAnsi="Calibri" w:cs="Calibri"/>
          <w:noProof/>
        </w:rPr>
        <w:drawing>
          <wp:inline distT="0" distB="0" distL="0" distR="0" wp14:anchorId="43449D33" wp14:editId="3A4F8412">
            <wp:extent cx="4827181" cy="2987592"/>
            <wp:effectExtent l="0" t="0" r="0" b="0"/>
            <wp:docPr id="420339119" name="Picture 2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39119" name="Picture 3" descr="A screenshot of a documen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4851097" cy="3002394"/>
                    </a:xfrm>
                    <a:prstGeom prst="rect">
                      <a:avLst/>
                    </a:prstGeom>
                  </pic:spPr>
                </pic:pic>
              </a:graphicData>
            </a:graphic>
          </wp:inline>
        </w:drawing>
      </w:r>
      <w:r>
        <w:rPr>
          <w:rFonts w:ascii="Calibri" w:hAnsi="Calibri" w:cs="Calibri"/>
          <w:noProof/>
        </w:rPr>
        <w:drawing>
          <wp:inline distT="0" distB="0" distL="0" distR="0" wp14:anchorId="178A7883" wp14:editId="363E087E">
            <wp:extent cx="3422797" cy="3330910"/>
            <wp:effectExtent l="0" t="0" r="0" b="0"/>
            <wp:docPr id="309218512" name="Picture 22" descr="A table of disinf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8512" name="Picture 4" descr="A table of disinfection&#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29735" cy="3337662"/>
                    </a:xfrm>
                    <a:prstGeom prst="rect">
                      <a:avLst/>
                    </a:prstGeom>
                  </pic:spPr>
                </pic:pic>
              </a:graphicData>
            </a:graphic>
          </wp:inline>
        </w:drawing>
      </w:r>
    </w:p>
    <w:p w14:paraId="7A32546E" w14:textId="66780455" w:rsidR="00B36B91" w:rsidRPr="00B946F2" w:rsidRDefault="00000000" w:rsidP="00B946F2">
      <w:pPr>
        <w:rPr>
          <w:rFonts w:ascii="Times New Roman" w:eastAsia="Times New Roman" w:hAnsi="Times New Roman" w:cs="Times New Roman"/>
        </w:rPr>
      </w:pPr>
      <w:r w:rsidRPr="00B946F2">
        <w:rPr>
          <w:rFonts w:ascii="Times New Roman" w:hAnsi="Times New Roman" w:cs="Times New Roman"/>
          <w:noProof/>
        </w:rPr>
        <w:lastRenderedPageBreak/>
        <w:drawing>
          <wp:anchor distT="114300" distB="114300" distL="114300" distR="114300" simplePos="0" relativeHeight="251659264" behindDoc="0" locked="0" layoutInCell="1" hidden="0" allowOverlap="1" wp14:anchorId="3EB4C2FC" wp14:editId="37A91F1B">
            <wp:simplePos x="0" y="0"/>
            <wp:positionH relativeFrom="column">
              <wp:posOffset>-717549</wp:posOffset>
            </wp:positionH>
            <wp:positionV relativeFrom="paragraph">
              <wp:posOffset>150907</wp:posOffset>
            </wp:positionV>
            <wp:extent cx="3726222" cy="1260475"/>
            <wp:effectExtent l="0" t="0" r="0" b="0"/>
            <wp:wrapSquare wrapText="bothSides" distT="114300" distB="114300" distL="114300" distR="114300"/>
            <wp:docPr id="2" name="Picture 23"/>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3726222" cy="1260475"/>
                    </a:xfrm>
                    <a:prstGeom prst="rect">
                      <a:avLst/>
                    </a:prstGeom>
                    <a:ln/>
                  </pic:spPr>
                </pic:pic>
              </a:graphicData>
            </a:graphic>
          </wp:anchor>
        </w:drawing>
      </w:r>
    </w:p>
    <w:sectPr w:rsidR="00B36B91" w:rsidRPr="00B946F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FB0401AD-D836-C747-A99D-6C75E19D4735}"/>
  </w:font>
  <w:font w:name="Times New Roman">
    <w:panose1 w:val="02020603050405020304"/>
    <w:charset w:val="00"/>
    <w:family w:val="roman"/>
    <w:pitch w:val="variable"/>
    <w:sig w:usb0="E0002EFF" w:usb1="C000785B" w:usb2="00000009" w:usb3="00000000" w:csb0="000001FF" w:csb1="00000000"/>
    <w:embedRegular r:id="rId2" w:fontKey="{F18BB72B-23C2-FC43-AEDC-A08BAD1F0FD6}"/>
    <w:embedBold r:id="rId3" w:fontKey="{84A8EDD4-104D-A440-93F5-CEE3DD13405C}"/>
    <w:embedItalic r:id="rId4" w:fontKey="{B7C0ADF4-D4F3-924A-A5E9-5842F5C43267}"/>
    <w:embedBoldItalic r:id="rId5" w:fontKey="{41461142-3840-904C-BC80-93B082A95066}"/>
  </w:font>
  <w:font w:name="Courier New">
    <w:panose1 w:val="02070309020205020404"/>
    <w:charset w:val="00"/>
    <w:family w:val="modern"/>
    <w:pitch w:val="fixed"/>
    <w:sig w:usb0="E0002AFF" w:usb1="C0007843" w:usb2="00000009" w:usb3="00000000" w:csb0="000001FF" w:csb1="00000000"/>
    <w:embedRegular r:id="rId6" w:fontKey="{51F838A1-8C11-5444-A418-8040713A3F47}"/>
  </w:font>
  <w:font w:name="Wingdings">
    <w:panose1 w:val="05000000000000000000"/>
    <w:charset w:val="4D"/>
    <w:family w:val="decorative"/>
    <w:pitch w:val="variable"/>
    <w:sig w:usb0="00000003" w:usb1="00000000" w:usb2="00000000" w:usb3="00000000" w:csb0="80000001" w:csb1="00000000"/>
    <w:embedRegular r:id="rId7" w:fontKey="{E2C60EBA-A5F7-D643-A24C-DC6AF31A983E}"/>
  </w:font>
  <w:font w:name="Calibri">
    <w:panose1 w:val="020F0502020204030204"/>
    <w:charset w:val="00"/>
    <w:family w:val="swiss"/>
    <w:pitch w:val="variable"/>
    <w:sig w:usb0="E0002AFF" w:usb1="C000247B" w:usb2="00000009" w:usb3="00000000" w:csb0="000001FF" w:csb1="00000000"/>
    <w:embedRegular r:id="rId8" w:fontKey="{28A713FB-77F5-0245-9398-F6E95C0F9F80}"/>
    <w:embedBold r:id="rId9" w:fontKey="{C1A462D1-8D4B-F549-AB40-3FDA4AC71A87}"/>
    <w:embedItalic r:id="rId10" w:fontKey="{89EFC487-6351-7340-A05D-37B7A60BA92C}"/>
    <w:embedBoldItalic r:id="rId11" w:fontKey="{054F99D3-6E7A-9343-B11A-C80A69F92B0E}"/>
  </w:font>
  <w:font w:name="Cambria">
    <w:panose1 w:val="02040503050406030204"/>
    <w:charset w:val="00"/>
    <w:family w:val="roman"/>
    <w:pitch w:val="variable"/>
    <w:sig w:usb0="E00002FF" w:usb1="400004FF" w:usb2="00000000" w:usb3="00000000" w:csb0="0000019F" w:csb1="00000000"/>
    <w:embedRegular r:id="rId12" w:fontKey="{4ADC3D84-6AF4-D04C-B85A-D772D98FE790}"/>
    <w:embedItalic r:id="rId13" w:fontKey="{312FA5DD-7753-A144-988D-6037DC422601}"/>
  </w:font>
  <w:font w:name="Arial">
    <w:panose1 w:val="020B0604020202020204"/>
    <w:charset w:val="00"/>
    <w:family w:val="swiss"/>
    <w:pitch w:val="variable"/>
    <w:sig w:usb0="E0002AFF" w:usb1="C0007843" w:usb2="00000009" w:usb3="00000000" w:csb0="000001FF" w:csb1="00000000"/>
    <w:embedRegular r:id="rId14" w:fontKey="{6CFC5F7C-2826-BB4F-95AD-E540E12DDC39}"/>
    <w:embedBold r:id="rId15" w:fontKey="{FBF58C23-E589-3541-A1AB-8CA3DB46B273}"/>
    <w:embedItalic r:id="rId16" w:fontKey="{371DA333-AEF0-5F40-8731-CC3CEAC8DC76}"/>
    <w:embedBoldItalic r:id="rId17" w:fontKey="{F13AE341-1CFB-7841-B31D-D03AAF39B544}"/>
  </w:font>
  <w:font w:name="Cardo">
    <w:altName w:val="Calibri"/>
    <w:panose1 w:val="020B0604020202020204"/>
    <w:charset w:val="00"/>
    <w:family w:val="auto"/>
    <w:pitch w:val="default"/>
  </w:font>
  <w:font w:name="Gungsuh">
    <w:panose1 w:val="02030600000101010101"/>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6AE4"/>
    <w:multiLevelType w:val="hybridMultilevel"/>
    <w:tmpl w:val="07CA1A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AEC3EE0"/>
    <w:multiLevelType w:val="hybridMultilevel"/>
    <w:tmpl w:val="C2A6D5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E0D059B"/>
    <w:multiLevelType w:val="hybridMultilevel"/>
    <w:tmpl w:val="60FE68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9407B5"/>
    <w:multiLevelType w:val="multilevel"/>
    <w:tmpl w:val="6D14F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5"/>
      <w:numFmt w:val="bullet"/>
      <w:lvlText w:val="-"/>
      <w:lvlJc w:val="left"/>
      <w:pPr>
        <w:ind w:left="2160" w:hanging="360"/>
      </w:pPr>
      <w:rPr>
        <w:rFonts w:ascii="Calibri" w:eastAsiaTheme="minorHAnsi" w:hAnsi="Calibri" w:cs="Calibr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F61546"/>
    <w:multiLevelType w:val="hybridMultilevel"/>
    <w:tmpl w:val="BCCEA9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5A81DBE"/>
    <w:multiLevelType w:val="hybridMultilevel"/>
    <w:tmpl w:val="69D0E462"/>
    <w:lvl w:ilvl="0" w:tplc="45123504">
      <w:start w:val="1"/>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A83087"/>
    <w:multiLevelType w:val="hybridMultilevel"/>
    <w:tmpl w:val="B27CF5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11515E1"/>
    <w:multiLevelType w:val="multilevel"/>
    <w:tmpl w:val="0CEE6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A23ADC"/>
    <w:multiLevelType w:val="hybridMultilevel"/>
    <w:tmpl w:val="4FD64A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EED28E2"/>
    <w:multiLevelType w:val="multilevel"/>
    <w:tmpl w:val="646AC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C46AAA"/>
    <w:multiLevelType w:val="multilevel"/>
    <w:tmpl w:val="96DE5A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86F5C0B"/>
    <w:multiLevelType w:val="multilevel"/>
    <w:tmpl w:val="C54A4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D2B54A4"/>
    <w:multiLevelType w:val="hybridMultilevel"/>
    <w:tmpl w:val="A89A93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51141E"/>
    <w:multiLevelType w:val="hybridMultilevel"/>
    <w:tmpl w:val="0BE24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8081D3B"/>
    <w:multiLevelType w:val="multilevel"/>
    <w:tmpl w:val="49F0E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C714295"/>
    <w:multiLevelType w:val="multilevel"/>
    <w:tmpl w:val="21201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9612794">
    <w:abstractNumId w:val="11"/>
  </w:num>
  <w:num w:numId="2" w16cid:durableId="1476020644">
    <w:abstractNumId w:val="10"/>
  </w:num>
  <w:num w:numId="3" w16cid:durableId="941689187">
    <w:abstractNumId w:val="3"/>
  </w:num>
  <w:num w:numId="4" w16cid:durableId="1042636974">
    <w:abstractNumId w:val="14"/>
  </w:num>
  <w:num w:numId="5" w16cid:durableId="1264799562">
    <w:abstractNumId w:val="2"/>
  </w:num>
  <w:num w:numId="6" w16cid:durableId="351685">
    <w:abstractNumId w:val="1"/>
  </w:num>
  <w:num w:numId="7" w16cid:durableId="1915384945">
    <w:abstractNumId w:val="9"/>
  </w:num>
  <w:num w:numId="8" w16cid:durableId="1553927474">
    <w:abstractNumId w:val="5"/>
  </w:num>
  <w:num w:numId="9" w16cid:durableId="1632586737">
    <w:abstractNumId w:val="7"/>
  </w:num>
  <w:num w:numId="10" w16cid:durableId="867525917">
    <w:abstractNumId w:val="15"/>
  </w:num>
  <w:num w:numId="11" w16cid:durableId="1665476672">
    <w:abstractNumId w:val="12"/>
  </w:num>
  <w:num w:numId="12" w16cid:durableId="394740518">
    <w:abstractNumId w:val="6"/>
  </w:num>
  <w:num w:numId="13" w16cid:durableId="1115561843">
    <w:abstractNumId w:val="0"/>
  </w:num>
  <w:num w:numId="14" w16cid:durableId="628825039">
    <w:abstractNumId w:val="4"/>
  </w:num>
  <w:num w:numId="15" w16cid:durableId="189295823">
    <w:abstractNumId w:val="8"/>
  </w:num>
  <w:num w:numId="16" w16cid:durableId="3548174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6B91"/>
    <w:rsid w:val="00645B9C"/>
    <w:rsid w:val="00B36B91"/>
    <w:rsid w:val="00B946F2"/>
    <w:rsid w:val="00DF5F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A5FE288"/>
  <w15:docId w15:val="{E643DE4B-E8C4-0A44-8675-2C70E42F77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DF5F8D"/>
    <w:pPr>
      <w:spacing w:after="200"/>
      <w:ind w:left="720"/>
      <w:contextualSpacing/>
    </w:pPr>
    <w:rPr>
      <w:rFonts w:asciiTheme="minorHAnsi" w:eastAsiaTheme="minorHAnsi" w:hAnsiTheme="minorHAnsi" w:cstheme="minorBidi"/>
      <w:lang w:val="en-US"/>
    </w:rPr>
  </w:style>
  <w:style w:type="paragraph" w:styleId="NormalWeb">
    <w:name w:val="Normal (Web)"/>
    <w:basedOn w:val="Normal"/>
    <w:uiPriority w:val="99"/>
    <w:semiHidden/>
    <w:unhideWhenUsed/>
    <w:rsid w:val="00DF5F8D"/>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5541</Words>
  <Characters>31585</Characters>
  <Application>Microsoft Office Word</Application>
  <DocSecurity>0</DocSecurity>
  <Lines>263</Lines>
  <Paragraphs>74</Paragraphs>
  <ScaleCrop>false</ScaleCrop>
  <Company/>
  <LinksUpToDate>false</LinksUpToDate>
  <CharactersWithSpaces>37052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Tara Myers Harrison</cp:lastModifiedBy>
  <cp:revision>2</cp:revision>
  <dcterms:created xsi:type="dcterms:W3CDTF">2025-10-06T17:31:00Z</dcterms:created>
  <dcterms:modified xsi:type="dcterms:W3CDTF">2025-10-06T17:31:00Z</dcterms:modified>
</cp:coreProperties>
</file>