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82DDB"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Which of the following statements accurately describes the findings of a ceftazidime pharmacokinetic study in red-eared sliders (</w:t>
      </w:r>
      <w:r w:rsidRPr="00B946F2">
        <w:rPr>
          <w:rFonts w:ascii="Times New Roman" w:eastAsia="Times New Roman" w:hAnsi="Times New Roman" w:cs="Times New Roman"/>
          <w:i/>
        </w:rPr>
        <w:t>Trachemys scripta elegans</w:t>
      </w:r>
      <w:r w:rsidRPr="00B946F2">
        <w:rPr>
          <w:rFonts w:ascii="Times New Roman" w:eastAsia="Times New Roman" w:hAnsi="Times New Roman" w:cs="Times New Roman"/>
        </w:rPr>
        <w:t>)?</w:t>
      </w:r>
    </w:p>
    <w:p w14:paraId="3A13FD21" w14:textId="77777777" w:rsidR="00FD54D0" w:rsidRPr="00B946F2" w:rsidRDefault="00FD54D0" w:rsidP="00FD54D0">
      <w:pPr>
        <w:widowControl w:val="0"/>
        <w:rPr>
          <w:rFonts w:ascii="Times New Roman" w:eastAsia="Times New Roman" w:hAnsi="Times New Roman" w:cs="Times New Roman"/>
        </w:rPr>
      </w:pPr>
    </w:p>
    <w:p w14:paraId="2BE2BB46"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a) Plasma concentrations fell below theoretical MIC for reptile pathogens within 72 hours after both doses.</w:t>
      </w:r>
      <w:r w:rsidRPr="00B946F2">
        <w:rPr>
          <w:rFonts w:ascii="Times New Roman" w:eastAsia="Times New Roman" w:hAnsi="Times New Roman" w:cs="Times New Roman"/>
        </w:rPr>
        <w:br/>
        <w:t xml:space="preserve">b) The higher dose of ceftazidime resulted in a significantly longer plasma half-life than the lower dose </w:t>
      </w:r>
    </w:p>
    <w:p w14:paraId="34372F91"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 xml:space="preserve">c) Both </w:t>
      </w:r>
      <w:proofErr w:type="gramStart"/>
      <w:r w:rsidRPr="00B946F2">
        <w:rPr>
          <w:rFonts w:ascii="Times New Roman" w:eastAsia="Times New Roman" w:hAnsi="Times New Roman" w:cs="Times New Roman"/>
        </w:rPr>
        <w:t>doses maintained</w:t>
      </w:r>
      <w:proofErr w:type="gramEnd"/>
      <w:r w:rsidRPr="00B946F2">
        <w:rPr>
          <w:rFonts w:ascii="Times New Roman" w:eastAsia="Times New Roman" w:hAnsi="Times New Roman" w:cs="Times New Roman"/>
        </w:rPr>
        <w:t xml:space="preserve"> plasma concentrations above the theoretical MIC for reptile pathogens for at least 120 hours</w:t>
      </w:r>
      <w:r w:rsidRPr="00B946F2">
        <w:rPr>
          <w:rFonts w:ascii="Times New Roman" w:eastAsia="Times New Roman" w:hAnsi="Times New Roman" w:cs="Times New Roman"/>
        </w:rPr>
        <w:br/>
        <w:t>d) Local injection site swelling and erythema were common following subcutaneous administration.</w:t>
      </w:r>
      <w:r w:rsidRPr="00B946F2">
        <w:rPr>
          <w:rFonts w:ascii="Times New Roman" w:eastAsia="Times New Roman" w:hAnsi="Times New Roman" w:cs="Times New Roman"/>
        </w:rPr>
        <w:br/>
        <w:t>e) Temperature variation among animals was found to significantly affect ceftazidime pharmacokinetics.</w:t>
      </w:r>
    </w:p>
    <w:p w14:paraId="44289DED" w14:textId="77777777" w:rsidR="00FD54D0" w:rsidRPr="00B946F2" w:rsidRDefault="00FD54D0" w:rsidP="00FD54D0">
      <w:pPr>
        <w:widowControl w:val="0"/>
        <w:rPr>
          <w:rFonts w:ascii="Times New Roman" w:eastAsia="Times New Roman" w:hAnsi="Times New Roman" w:cs="Times New Roman"/>
        </w:rPr>
      </w:pPr>
    </w:p>
    <w:p w14:paraId="653F552D"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 xml:space="preserve">Answer: C; A - plasma concentrations remained high; B - no differences in plasma half-life noted; D - no injection site reactions; E - temperature was not evaluated and remained consistent since group housed </w:t>
      </w:r>
    </w:p>
    <w:p w14:paraId="49B39582" w14:textId="77777777" w:rsidR="00FD54D0" w:rsidRPr="00B946F2" w:rsidRDefault="00FD54D0" w:rsidP="00FD54D0">
      <w:pPr>
        <w:widowControl w:val="0"/>
        <w:rPr>
          <w:rFonts w:ascii="Times New Roman" w:eastAsia="Times New Roman" w:hAnsi="Times New Roman" w:cs="Times New Roman"/>
        </w:rPr>
      </w:pPr>
    </w:p>
    <w:p w14:paraId="645507F7" w14:textId="77777777" w:rsidR="00FD54D0" w:rsidRDefault="00FD54D0" w:rsidP="00FD54D0">
      <w:pPr>
        <w:widowControl w:val="0"/>
        <w:rPr>
          <w:rFonts w:ascii="Times New Roman" w:eastAsia="Times New Roman" w:hAnsi="Times New Roman" w:cs="Times New Roman"/>
        </w:rPr>
      </w:pPr>
    </w:p>
    <w:p w14:paraId="097B873A" w14:textId="0455A2D9"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Which of the following statements correctly compares the pharmacokinetic findings of subcutaneous ceftazidime and amikacin administration in red-eared sliders (</w:t>
      </w:r>
      <w:r w:rsidRPr="00B946F2">
        <w:rPr>
          <w:rFonts w:ascii="Times New Roman" w:eastAsia="Times New Roman" w:hAnsi="Times New Roman" w:cs="Times New Roman"/>
          <w:i/>
        </w:rPr>
        <w:t>Trachemys scripta elegans)</w:t>
      </w:r>
      <w:r w:rsidRPr="00B946F2">
        <w:rPr>
          <w:rFonts w:ascii="Times New Roman" w:eastAsia="Times New Roman" w:hAnsi="Times New Roman" w:cs="Times New Roman"/>
        </w:rPr>
        <w:t>?</w:t>
      </w:r>
    </w:p>
    <w:p w14:paraId="62FF7E3B" w14:textId="77777777" w:rsidR="00FD54D0" w:rsidRPr="00B946F2" w:rsidRDefault="00FD54D0" w:rsidP="00FD54D0">
      <w:pPr>
        <w:widowControl w:val="0"/>
        <w:rPr>
          <w:rFonts w:ascii="Times New Roman" w:eastAsia="Times New Roman" w:hAnsi="Times New Roman" w:cs="Times New Roman"/>
        </w:rPr>
      </w:pPr>
    </w:p>
    <w:p w14:paraId="7E9A862E"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 xml:space="preserve">a) Temperature showed to have a significant effect on the duration of elevated plasma concentration </w:t>
      </w:r>
    </w:p>
    <w:p w14:paraId="091A905F"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 xml:space="preserve">b) Both ceftazidime and </w:t>
      </w:r>
      <w:proofErr w:type="gramStart"/>
      <w:r w:rsidRPr="00B946F2">
        <w:rPr>
          <w:rFonts w:ascii="Times New Roman" w:eastAsia="Times New Roman" w:hAnsi="Times New Roman" w:cs="Times New Roman"/>
        </w:rPr>
        <w:t>amikacin maintained</w:t>
      </w:r>
      <w:proofErr w:type="gramEnd"/>
      <w:r w:rsidRPr="00B946F2">
        <w:rPr>
          <w:rFonts w:ascii="Times New Roman" w:eastAsia="Times New Roman" w:hAnsi="Times New Roman" w:cs="Times New Roman"/>
        </w:rPr>
        <w:t xml:space="preserve"> plasma concentrations above their theoretical MICs for approximately 72 hours post-administration.</w:t>
      </w:r>
      <w:r w:rsidRPr="00B946F2">
        <w:rPr>
          <w:rFonts w:ascii="Times New Roman" w:eastAsia="Times New Roman" w:hAnsi="Times New Roman" w:cs="Times New Roman"/>
        </w:rPr>
        <w:br/>
        <w:t xml:space="preserve">c) Ceftazidime produced detectable plasma concentrations for a shorter duration than amikacin </w:t>
      </w:r>
    </w:p>
    <w:p w14:paraId="5B213126"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d) Both drugs caused mild increases in plasma uric acid concentrations consistent with renal stress.</w:t>
      </w:r>
      <w:r w:rsidRPr="00B946F2">
        <w:rPr>
          <w:rFonts w:ascii="Times New Roman" w:eastAsia="Times New Roman" w:hAnsi="Times New Roman" w:cs="Times New Roman"/>
        </w:rPr>
        <w:br/>
        <w:t>e) Amikacin showed evidence of local tissue irritation and necrosis at the injection site but Ceftazidime did not</w:t>
      </w:r>
    </w:p>
    <w:p w14:paraId="23677831" w14:textId="77777777" w:rsidR="00FD54D0" w:rsidRPr="00B946F2" w:rsidRDefault="00FD54D0" w:rsidP="00FD54D0">
      <w:pPr>
        <w:widowControl w:val="0"/>
        <w:rPr>
          <w:rFonts w:ascii="Times New Roman" w:eastAsia="Times New Roman" w:hAnsi="Times New Roman" w:cs="Times New Roman"/>
        </w:rPr>
      </w:pPr>
    </w:p>
    <w:p w14:paraId="537AAD2B" w14:textId="77777777" w:rsidR="00FD54D0" w:rsidRPr="00B946F2" w:rsidRDefault="00FD54D0" w:rsidP="00FD54D0">
      <w:pPr>
        <w:widowControl w:val="0"/>
        <w:rPr>
          <w:rFonts w:ascii="Times New Roman" w:eastAsia="Times New Roman" w:hAnsi="Times New Roman" w:cs="Times New Roman"/>
        </w:rPr>
      </w:pPr>
      <w:r w:rsidRPr="00B946F2">
        <w:rPr>
          <w:rFonts w:ascii="Times New Roman" w:eastAsia="Times New Roman" w:hAnsi="Times New Roman" w:cs="Times New Roman"/>
        </w:rPr>
        <w:t xml:space="preserve">Answer: C; A - Temperature was the same for all animals in each study since group housed though other studies have shown that temp can affect PK studies this was not evaluated; B - Amikacin was detectable up to 3 weeks post 5mg/kg injection but </w:t>
      </w:r>
      <w:proofErr w:type="spellStart"/>
      <w:r w:rsidRPr="00B946F2">
        <w:rPr>
          <w:rFonts w:ascii="Times New Roman" w:eastAsia="Times New Roman" w:hAnsi="Times New Roman" w:cs="Times New Roman"/>
        </w:rPr>
        <w:t>Ceftaz</w:t>
      </w:r>
      <w:proofErr w:type="spellEnd"/>
      <w:r w:rsidRPr="00B946F2">
        <w:rPr>
          <w:rFonts w:ascii="Times New Roman" w:eastAsia="Times New Roman" w:hAnsi="Times New Roman" w:cs="Times New Roman"/>
        </w:rPr>
        <w:t xml:space="preserve"> was about 120 </w:t>
      </w:r>
      <w:proofErr w:type="spellStart"/>
      <w:r w:rsidRPr="00B946F2">
        <w:rPr>
          <w:rFonts w:ascii="Times New Roman" w:eastAsia="Times New Roman" w:hAnsi="Times New Roman" w:cs="Times New Roman"/>
        </w:rPr>
        <w:t>hrs</w:t>
      </w:r>
      <w:proofErr w:type="spellEnd"/>
      <w:r w:rsidRPr="00B946F2">
        <w:rPr>
          <w:rFonts w:ascii="Times New Roman" w:eastAsia="Times New Roman" w:hAnsi="Times New Roman" w:cs="Times New Roman"/>
        </w:rPr>
        <w:t xml:space="preserve">;  D - Amikacin did not show any biochemical changes and it was not evaluated in Ceftazidime; E - neither drug showed any evidence of cutaneous reaction </w:t>
      </w:r>
    </w:p>
    <w:p w14:paraId="0000001B" w14:textId="77777777" w:rsidR="004536C0" w:rsidRDefault="004536C0">
      <w:pPr>
        <w:rPr>
          <w:rFonts w:ascii="Times New Roman" w:eastAsia="Times New Roman" w:hAnsi="Times New Roman" w:cs="Times New Roman"/>
        </w:rPr>
      </w:pPr>
    </w:p>
    <w:p w14:paraId="0000001C" w14:textId="77777777" w:rsidR="004536C0" w:rsidRDefault="00000000">
      <w:pPr>
        <w:rPr>
          <w:rFonts w:ascii="Times New Roman" w:eastAsia="Times New Roman" w:hAnsi="Times New Roman" w:cs="Times New Roman"/>
        </w:rPr>
      </w:pPr>
      <w:r>
        <w:rPr>
          <w:rFonts w:ascii="Times New Roman" w:eastAsia="Times New Roman" w:hAnsi="Times New Roman" w:cs="Times New Roman"/>
        </w:rPr>
        <w:t>Question</w:t>
      </w:r>
    </w:p>
    <w:p w14:paraId="0000001D" w14:textId="77777777" w:rsidR="004536C0"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Which of the following findings was reported in the study evaluating subcutaneous amikacin administration in red-eared sliders (</w:t>
      </w:r>
      <w:r>
        <w:rPr>
          <w:rFonts w:ascii="Times New Roman" w:eastAsia="Times New Roman" w:hAnsi="Times New Roman" w:cs="Times New Roman"/>
          <w:i/>
        </w:rPr>
        <w:t>Trachemys scripta elegans</w:t>
      </w:r>
      <w:r>
        <w:rPr>
          <w:rFonts w:ascii="Times New Roman" w:eastAsia="Times New Roman" w:hAnsi="Times New Roman" w:cs="Times New Roman"/>
        </w:rPr>
        <w:t>)?</w:t>
      </w:r>
    </w:p>
    <w:p w14:paraId="0000001E" w14:textId="77777777" w:rsidR="004536C0"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 Amikacin plasma concentrations peaked within 1 hour of administration after 10mg/kg dose</w:t>
      </w:r>
      <w:r>
        <w:rPr>
          <w:rFonts w:ascii="Times New Roman" w:eastAsia="Times New Roman" w:hAnsi="Times New Roman" w:cs="Times New Roman"/>
        </w:rPr>
        <w:br/>
        <w:t>b) Detectable plasma amikacin persisted for at least 3 weeks after a 5 mg/kg dose</w:t>
      </w:r>
      <w:r>
        <w:rPr>
          <w:rFonts w:ascii="Times New Roman" w:eastAsia="Times New Roman" w:hAnsi="Times New Roman" w:cs="Times New Roman"/>
        </w:rPr>
        <w:br/>
        <w:t>c) Significant elevations in uric acid suggested renal impairment following both doses</w:t>
      </w:r>
      <w:r>
        <w:rPr>
          <w:rFonts w:ascii="Times New Roman" w:eastAsia="Times New Roman" w:hAnsi="Times New Roman" w:cs="Times New Roman"/>
        </w:rPr>
        <w:br/>
        <w:t>d) Local injection site reactions, including erythema and swelling, were common</w:t>
      </w:r>
      <w:r>
        <w:rPr>
          <w:rFonts w:ascii="Times New Roman" w:eastAsia="Times New Roman" w:hAnsi="Times New Roman" w:cs="Times New Roman"/>
        </w:rPr>
        <w:br/>
        <w:t>e) Plasma concentrations after the 10-mg/kg dose declined steadily over the 96-hour study period</w:t>
      </w:r>
    </w:p>
    <w:p w14:paraId="0000001F" w14:textId="77777777" w:rsidR="004536C0"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Answer: B; A - samples not run before 24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 C - no changes in uric acid (</w:t>
      </w:r>
      <w:proofErr w:type="gramStart"/>
      <w:r>
        <w:rPr>
          <w:rFonts w:ascii="Times New Roman" w:eastAsia="Times New Roman" w:hAnsi="Times New Roman" w:cs="Times New Roman"/>
        </w:rPr>
        <w:t>actually slightly</w:t>
      </w:r>
      <w:proofErr w:type="gramEnd"/>
      <w:r>
        <w:rPr>
          <w:rFonts w:ascii="Times New Roman" w:eastAsia="Times New Roman" w:hAnsi="Times New Roman" w:cs="Times New Roman"/>
        </w:rPr>
        <w:t xml:space="preserve"> decreased) no biochemistry changes secondary to amikacin administration no evidence of kidney disease biochemically </w:t>
      </w:r>
      <w:r>
        <w:rPr>
          <w:rFonts w:ascii="Times New Roman" w:eastAsia="Times New Roman" w:hAnsi="Times New Roman" w:cs="Times New Roman"/>
        </w:rPr>
        <w:lastRenderedPageBreak/>
        <w:t xml:space="preserve">but no </w:t>
      </w:r>
      <w:proofErr w:type="spellStart"/>
      <w:r>
        <w:rPr>
          <w:rFonts w:ascii="Times New Roman" w:eastAsia="Times New Roman" w:hAnsi="Times New Roman" w:cs="Times New Roman"/>
        </w:rPr>
        <w:t>histo</w:t>
      </w:r>
      <w:proofErr w:type="spellEnd"/>
      <w:r>
        <w:rPr>
          <w:rFonts w:ascii="Times New Roman" w:eastAsia="Times New Roman" w:hAnsi="Times New Roman" w:cs="Times New Roman"/>
        </w:rPr>
        <w:t xml:space="preserve"> evaluated; D - no cutaneous reactions observed; E - plasma concentrations after 10mg/kg remained elevated and stable after 96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 xml:space="preserve"> </w:t>
      </w:r>
    </w:p>
    <w:p w14:paraId="00000020" w14:textId="77777777" w:rsidR="004536C0" w:rsidRDefault="004536C0">
      <w:pPr>
        <w:rPr>
          <w:rFonts w:ascii="Times New Roman" w:eastAsia="Times New Roman" w:hAnsi="Times New Roman" w:cs="Times New Roman"/>
        </w:rPr>
      </w:pPr>
    </w:p>
    <w:p w14:paraId="3184FAC7" w14:textId="77777777" w:rsidR="00F75789" w:rsidRDefault="00000000" w:rsidP="00F75789">
      <w:pPr>
        <w:spacing w:line="240" w:lineRule="auto"/>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rPr>
        <w:t xml:space="preserve"> </w:t>
      </w:r>
      <w:r w:rsidR="00F75789" w:rsidRPr="00BA1D8A">
        <w:rPr>
          <w:rFonts w:ascii="Times New Roman" w:eastAsia="Times New Roman" w:hAnsi="Times New Roman" w:cs="Times New Roman"/>
          <w:i/>
          <w:iCs/>
          <w:color w:val="000000"/>
          <w:sz w:val="20"/>
          <w:szCs w:val="20"/>
        </w:rPr>
        <w:t>The Journal of Herpetological Medicine and Surgery, Volume 35, No. 1, 2025 pp. 40–44</w:t>
      </w:r>
    </w:p>
    <w:p w14:paraId="55956E79" w14:textId="77777777" w:rsidR="00F75789" w:rsidRPr="00565D64" w:rsidRDefault="00F75789" w:rsidP="00F75789">
      <w:pPr>
        <w:spacing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60BBEB0D" w14:textId="77777777" w:rsidR="00F75789" w:rsidRPr="00565D64" w:rsidRDefault="00F75789" w:rsidP="00F75789">
      <w:pPr>
        <w:spacing w:after="240" w:line="240" w:lineRule="auto"/>
        <w:rPr>
          <w:rFonts w:ascii="Times New Roman" w:eastAsia="Times New Roman" w:hAnsi="Times New Roman" w:cs="Times New Roman"/>
          <w:color w:val="000000"/>
          <w:sz w:val="24"/>
          <w:szCs w:val="24"/>
        </w:rPr>
      </w:pPr>
    </w:p>
    <w:p w14:paraId="24353C6C" w14:textId="77777777" w:rsidR="00F75789" w:rsidRPr="00C31EA9" w:rsidRDefault="00F75789" w:rsidP="00F75789">
      <w:pPr>
        <w:spacing w:line="240" w:lineRule="auto"/>
        <w:rPr>
          <w:rFonts w:ascii="Times New Roman" w:eastAsia="Times New Roman" w:hAnsi="Times New Roman" w:cs="Times New Roman"/>
          <w:color w:val="000000"/>
          <w:sz w:val="24"/>
          <w:szCs w:val="24"/>
        </w:rPr>
      </w:pPr>
      <w:r w:rsidRPr="00C31EA9">
        <w:rPr>
          <w:rFonts w:ascii="Times New Roman" w:eastAsia="Times New Roman" w:hAnsi="Times New Roman" w:cs="Times New Roman"/>
          <w:color w:val="000000"/>
          <w:sz w:val="24"/>
          <w:szCs w:val="24"/>
        </w:rPr>
        <w:t>Effectiveness of Nasal Flush Treatments in Mycoplasma PCR- or DNA Sequencing–Positive Tortoises</w:t>
      </w:r>
    </w:p>
    <w:p w14:paraId="295BC7E3" w14:textId="77777777" w:rsidR="00F75789" w:rsidRPr="00C31EA9" w:rsidRDefault="00F75789" w:rsidP="00F75789">
      <w:pPr>
        <w:spacing w:line="240" w:lineRule="auto"/>
        <w:rPr>
          <w:rFonts w:ascii="Times New Roman" w:eastAsia="Times New Roman" w:hAnsi="Times New Roman" w:cs="Times New Roman"/>
          <w:color w:val="000000"/>
          <w:sz w:val="24"/>
          <w:szCs w:val="24"/>
        </w:rPr>
      </w:pPr>
      <w:r w:rsidRPr="00C31EA9">
        <w:rPr>
          <w:rFonts w:ascii="Times New Roman" w:eastAsia="Times New Roman" w:hAnsi="Times New Roman" w:cs="Times New Roman"/>
          <w:color w:val="000000"/>
          <w:sz w:val="18"/>
          <w:szCs w:val="18"/>
        </w:rPr>
        <w:t>Marianne Caron, Ian Kanda, Mark Mitchell, Thomas Boyer</w:t>
      </w:r>
    </w:p>
    <w:p w14:paraId="41102256" w14:textId="77777777" w:rsidR="00F75789" w:rsidRPr="00C31EA9" w:rsidRDefault="00F75789" w:rsidP="00F75789">
      <w:pPr>
        <w:spacing w:line="240" w:lineRule="auto"/>
        <w:rPr>
          <w:rFonts w:ascii="Times New Roman" w:hAnsi="Times New Roman" w:cs="Times New Roman"/>
        </w:rPr>
      </w:pPr>
    </w:p>
    <w:p w14:paraId="2302130A"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1. In a study evaluating effectiveness of an enrofloxacin-dexamethasone-saline nasal flush protocol, what was a primary outcome when systemic enrofloxacin in </w:t>
      </w:r>
      <w:r w:rsidRPr="007C693F">
        <w:rPr>
          <w:rFonts w:ascii="Times New Roman" w:hAnsi="Times New Roman" w:cs="Times New Roman"/>
          <w:i/>
          <w:iCs/>
        </w:rPr>
        <w:t>Mycoplasma</w:t>
      </w:r>
      <w:r w:rsidRPr="007C693F">
        <w:rPr>
          <w:rFonts w:ascii="Times New Roman" w:hAnsi="Times New Roman" w:cs="Times New Roman"/>
        </w:rPr>
        <w:t>-positive tortoises?</w:t>
      </w:r>
    </w:p>
    <w:p w14:paraId="21A11949" w14:textId="77777777" w:rsidR="00F75789" w:rsidRPr="007C693F" w:rsidRDefault="00F75789" w:rsidP="00F75789">
      <w:pPr>
        <w:spacing w:line="240" w:lineRule="auto"/>
        <w:rPr>
          <w:rFonts w:ascii="Times New Roman" w:hAnsi="Times New Roman" w:cs="Times New Roman"/>
        </w:rPr>
      </w:pPr>
    </w:p>
    <w:p w14:paraId="3C53D744"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A. It temporarily reduced nasal discharge but did not alter PCR or DNA sequencing results.</w:t>
      </w:r>
    </w:p>
    <w:p w14:paraId="77762C0F"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B. It significantly decreased </w:t>
      </w:r>
      <w:r w:rsidRPr="007C693F">
        <w:rPr>
          <w:rFonts w:ascii="Times New Roman" w:hAnsi="Times New Roman" w:cs="Times New Roman"/>
          <w:i/>
          <w:iCs/>
        </w:rPr>
        <w:t>Mycoplasma</w:t>
      </w:r>
      <w:r w:rsidRPr="007C693F">
        <w:rPr>
          <w:rFonts w:ascii="Times New Roman" w:hAnsi="Times New Roman" w:cs="Times New Roman"/>
        </w:rPr>
        <w:t xml:space="preserve"> detectability and resolved nasal discharge acutely.</w:t>
      </w:r>
    </w:p>
    <w:p w14:paraId="0B852BEC"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C. Flushing alone was effective in reducing nasal discharge and decreased </w:t>
      </w:r>
      <w:r w:rsidRPr="007C693F">
        <w:rPr>
          <w:rFonts w:ascii="Times New Roman" w:hAnsi="Times New Roman" w:cs="Times New Roman"/>
          <w:i/>
          <w:iCs/>
        </w:rPr>
        <w:t>Mycoplasma</w:t>
      </w:r>
      <w:r w:rsidRPr="007C693F">
        <w:rPr>
          <w:rFonts w:ascii="Times New Roman" w:hAnsi="Times New Roman" w:cs="Times New Roman"/>
        </w:rPr>
        <w:t xml:space="preserve"> detectability.</w:t>
      </w:r>
    </w:p>
    <w:p w14:paraId="0EF2A294"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D. It eliminated </w:t>
      </w:r>
      <w:r w:rsidRPr="007C693F">
        <w:rPr>
          <w:rFonts w:ascii="Times New Roman" w:hAnsi="Times New Roman" w:cs="Times New Roman"/>
          <w:i/>
          <w:iCs/>
        </w:rPr>
        <w:t>Mycoplasma</w:t>
      </w:r>
      <w:r w:rsidRPr="007C693F">
        <w:rPr>
          <w:rFonts w:ascii="Times New Roman" w:hAnsi="Times New Roman" w:cs="Times New Roman"/>
        </w:rPr>
        <w:t xml:space="preserve"> infection permanently in all treated tortoises.</w:t>
      </w:r>
    </w:p>
    <w:p w14:paraId="0D53B0D4"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E. It worsened nasal inflammation due to overuse of corticosteroids in the flush solution.</w:t>
      </w:r>
    </w:p>
    <w:p w14:paraId="5EB37D2C" w14:textId="77777777" w:rsidR="00F75789" w:rsidRPr="007C693F" w:rsidRDefault="00F75789" w:rsidP="00F75789">
      <w:pPr>
        <w:spacing w:line="240" w:lineRule="auto"/>
        <w:rPr>
          <w:rFonts w:ascii="Times New Roman" w:hAnsi="Times New Roman" w:cs="Times New Roman"/>
        </w:rPr>
      </w:pPr>
    </w:p>
    <w:p w14:paraId="26D5D7C1"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Answer: B. It significantly decreased Mycoplasma detectability and resolved nasal discharge acutely.</w:t>
      </w:r>
    </w:p>
    <w:p w14:paraId="74C2C7A0" w14:textId="77777777" w:rsidR="00F75789" w:rsidRPr="007C693F" w:rsidRDefault="00F75789" w:rsidP="00F75789">
      <w:pPr>
        <w:spacing w:line="240" w:lineRule="auto"/>
        <w:rPr>
          <w:rFonts w:ascii="Times New Roman" w:hAnsi="Times New Roman" w:cs="Times New Roman"/>
        </w:rPr>
      </w:pPr>
    </w:p>
    <w:p w14:paraId="6F712E06"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Explanation: Mycoplasma detection was reduced by PCR and DNA (A is wrong), but infection was not eliminated in all tortoises (D is wrong). Dexamethasone did not worsen nasal inflammation (E). Notably, distractor (C) is </w:t>
      </w:r>
      <w:proofErr w:type="gramStart"/>
      <w:r w:rsidRPr="007C693F">
        <w:rPr>
          <w:rFonts w:ascii="Times New Roman" w:hAnsi="Times New Roman" w:cs="Times New Roman"/>
        </w:rPr>
        <w:t>incorrect</w:t>
      </w:r>
      <w:proofErr w:type="gramEnd"/>
      <w:r w:rsidRPr="007C693F">
        <w:rPr>
          <w:rFonts w:ascii="Times New Roman" w:hAnsi="Times New Roman" w:cs="Times New Roman"/>
        </w:rPr>
        <w:t xml:space="preserve"> but a previous study (</w:t>
      </w:r>
      <w:proofErr w:type="spellStart"/>
      <w:r w:rsidRPr="007C693F">
        <w:rPr>
          <w:rFonts w:ascii="Times New Roman" w:hAnsi="Times New Roman" w:cs="Times New Roman"/>
        </w:rPr>
        <w:t>Jarchow</w:t>
      </w:r>
      <w:proofErr w:type="spellEnd"/>
      <w:r w:rsidRPr="007C693F">
        <w:rPr>
          <w:rFonts w:ascii="Times New Roman" w:hAnsi="Times New Roman" w:cs="Times New Roman"/>
        </w:rPr>
        <w:t>, 2004) tested this saline flush with positive results but no definitive testing. The protocol in the present study did not compare nasal flush with or without enrofloxacin.</w:t>
      </w:r>
    </w:p>
    <w:p w14:paraId="63FF8168" w14:textId="77777777" w:rsidR="00F75789" w:rsidRDefault="00F75789" w:rsidP="00F75789">
      <w:pPr>
        <w:spacing w:line="240" w:lineRule="auto"/>
        <w:rPr>
          <w:rFonts w:ascii="Times New Roman" w:hAnsi="Times New Roman" w:cs="Times New Roman"/>
        </w:rPr>
      </w:pPr>
    </w:p>
    <w:p w14:paraId="5C145BE7" w14:textId="77777777" w:rsidR="00F75789" w:rsidRDefault="00F75789" w:rsidP="00F75789">
      <w:pPr>
        <w:spacing w:line="240" w:lineRule="auto"/>
        <w:jc w:val="right"/>
        <w:rPr>
          <w:rFonts w:ascii="Times New Roman" w:eastAsia="Times New Roman" w:hAnsi="Times New Roman" w:cs="Times New Roman"/>
          <w:i/>
          <w:iCs/>
          <w:color w:val="000000"/>
          <w:sz w:val="20"/>
          <w:szCs w:val="20"/>
        </w:rPr>
      </w:pPr>
      <w:r w:rsidRPr="006C16A6">
        <w:rPr>
          <w:rFonts w:ascii="Times New Roman" w:eastAsia="Times New Roman" w:hAnsi="Times New Roman" w:cs="Times New Roman"/>
          <w:i/>
          <w:iCs/>
          <w:color w:val="000000"/>
          <w:sz w:val="20"/>
          <w:szCs w:val="20"/>
        </w:rPr>
        <w:t>The Journal of Herpetological Medicine and Surgery, Volume 35, No. 2, 2025 pp. 108–112</w:t>
      </w:r>
    </w:p>
    <w:p w14:paraId="1416A70E" w14:textId="77777777" w:rsidR="00F75789" w:rsidRPr="00565D64" w:rsidRDefault="00F75789" w:rsidP="00F75789">
      <w:pPr>
        <w:spacing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44137A69" w14:textId="77777777" w:rsidR="00F75789" w:rsidRPr="00565D64" w:rsidRDefault="00F75789" w:rsidP="00F75789">
      <w:pPr>
        <w:spacing w:after="240" w:line="240" w:lineRule="auto"/>
        <w:rPr>
          <w:rFonts w:ascii="Times New Roman" w:eastAsia="Times New Roman" w:hAnsi="Times New Roman" w:cs="Times New Roman"/>
          <w:color w:val="000000"/>
          <w:sz w:val="24"/>
          <w:szCs w:val="24"/>
        </w:rPr>
      </w:pPr>
    </w:p>
    <w:p w14:paraId="3A4BDC12" w14:textId="77777777" w:rsidR="00F75789" w:rsidRDefault="00F75789" w:rsidP="00F75789">
      <w:pPr>
        <w:spacing w:line="240" w:lineRule="auto"/>
        <w:rPr>
          <w:rFonts w:ascii="Times New Roman" w:eastAsia="Times New Roman" w:hAnsi="Times New Roman" w:cs="Times New Roman"/>
          <w:color w:val="000000"/>
          <w:sz w:val="24"/>
          <w:szCs w:val="24"/>
        </w:rPr>
      </w:pPr>
      <w:r w:rsidRPr="006C16A6">
        <w:rPr>
          <w:rFonts w:ascii="Times New Roman" w:eastAsia="Times New Roman" w:hAnsi="Times New Roman" w:cs="Times New Roman"/>
          <w:color w:val="000000"/>
          <w:sz w:val="24"/>
          <w:szCs w:val="24"/>
        </w:rPr>
        <w:t xml:space="preserve">Comparison of Different Physiological Parameters for the Assessment of Hydration Status in Turtles of the Genus </w:t>
      </w:r>
      <w:r w:rsidRPr="006C16A6">
        <w:rPr>
          <w:rFonts w:ascii="Times New Roman" w:eastAsia="Times New Roman" w:hAnsi="Times New Roman" w:cs="Times New Roman"/>
          <w:i/>
          <w:iCs/>
          <w:color w:val="000000"/>
          <w:sz w:val="24"/>
          <w:szCs w:val="24"/>
        </w:rPr>
        <w:t>Trachemys</w:t>
      </w:r>
    </w:p>
    <w:p w14:paraId="0B4674C9" w14:textId="77777777" w:rsidR="00F75789" w:rsidRDefault="00F75789" w:rsidP="00F75789">
      <w:pPr>
        <w:spacing w:line="240" w:lineRule="auto"/>
        <w:rPr>
          <w:rFonts w:ascii="Times New Roman" w:eastAsia="Times New Roman" w:hAnsi="Times New Roman" w:cs="Times New Roman"/>
          <w:color w:val="000000"/>
          <w:sz w:val="18"/>
          <w:szCs w:val="18"/>
        </w:rPr>
      </w:pPr>
      <w:r w:rsidRPr="006C16A6">
        <w:rPr>
          <w:rFonts w:ascii="Times New Roman" w:eastAsia="Times New Roman" w:hAnsi="Times New Roman" w:cs="Times New Roman"/>
          <w:color w:val="000000"/>
          <w:sz w:val="18"/>
          <w:szCs w:val="18"/>
        </w:rPr>
        <w:t xml:space="preserve">Oliver Baca-Montero, Daniel Alejandro Gomez </w:t>
      </w:r>
      <w:proofErr w:type="spellStart"/>
      <w:r w:rsidRPr="006C16A6">
        <w:rPr>
          <w:rFonts w:ascii="Times New Roman" w:eastAsia="Times New Roman" w:hAnsi="Times New Roman" w:cs="Times New Roman"/>
          <w:color w:val="000000"/>
          <w:sz w:val="18"/>
          <w:szCs w:val="18"/>
        </w:rPr>
        <w:t>Pizano</w:t>
      </w:r>
      <w:proofErr w:type="spellEnd"/>
      <w:r w:rsidRPr="006C16A6">
        <w:rPr>
          <w:rFonts w:ascii="Times New Roman" w:eastAsia="Times New Roman" w:hAnsi="Times New Roman" w:cs="Times New Roman"/>
          <w:color w:val="000000"/>
          <w:sz w:val="18"/>
          <w:szCs w:val="18"/>
        </w:rPr>
        <w:t>, Maria Guadalupe Sanchez Gonzalez</w:t>
      </w:r>
    </w:p>
    <w:p w14:paraId="28FAF91F" w14:textId="77777777" w:rsidR="00F75789" w:rsidRDefault="00F75789" w:rsidP="00F75789">
      <w:pPr>
        <w:spacing w:line="240" w:lineRule="auto"/>
        <w:rPr>
          <w:rFonts w:ascii="Times New Roman" w:hAnsi="Times New Roman" w:cs="Times New Roman"/>
        </w:rPr>
      </w:pPr>
    </w:p>
    <w:p w14:paraId="3F33D348"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2. Which of the following combination of parameters would be most appropriate to utilize to assess hydration status in </w:t>
      </w:r>
      <w:r w:rsidRPr="007C693F">
        <w:rPr>
          <w:rFonts w:ascii="Times New Roman" w:hAnsi="Times New Roman" w:cs="Times New Roman"/>
          <w:i/>
          <w:iCs/>
        </w:rPr>
        <w:t>Trachemys</w:t>
      </w:r>
      <w:r w:rsidRPr="007C693F">
        <w:rPr>
          <w:rFonts w:ascii="Times New Roman" w:hAnsi="Times New Roman" w:cs="Times New Roman"/>
        </w:rPr>
        <w:t xml:space="preserve"> spp. turtles?</w:t>
      </w:r>
    </w:p>
    <w:p w14:paraId="423D53C3" w14:textId="77777777" w:rsidR="00F75789" w:rsidRPr="007C693F" w:rsidRDefault="00F75789" w:rsidP="00F75789">
      <w:pPr>
        <w:spacing w:line="240" w:lineRule="auto"/>
        <w:rPr>
          <w:rFonts w:ascii="Times New Roman" w:hAnsi="Times New Roman" w:cs="Times New Roman"/>
        </w:rPr>
      </w:pPr>
    </w:p>
    <w:p w14:paraId="45C33B2D" w14:textId="77777777" w:rsidR="00F75789" w:rsidRPr="007C693F" w:rsidRDefault="00F75789" w:rsidP="00F75789">
      <w:pPr>
        <w:pStyle w:val="ListParagraph"/>
        <w:numPr>
          <w:ilvl w:val="0"/>
          <w:numId w:val="2"/>
        </w:numPr>
        <w:spacing w:after="0" w:line="240" w:lineRule="auto"/>
        <w:rPr>
          <w:rFonts w:ascii="Times New Roman" w:hAnsi="Times New Roman" w:cs="Times New Roman"/>
          <w:sz w:val="22"/>
          <w:szCs w:val="22"/>
        </w:rPr>
      </w:pPr>
      <w:r w:rsidRPr="007C693F">
        <w:rPr>
          <w:rFonts w:ascii="Times New Roman" w:hAnsi="Times New Roman" w:cs="Times New Roman"/>
          <w:sz w:val="22"/>
          <w:szCs w:val="22"/>
        </w:rPr>
        <w:t>Increased skin turgor and elevated uric acid</w:t>
      </w:r>
    </w:p>
    <w:p w14:paraId="6DC2174B" w14:textId="77777777" w:rsidR="00F75789" w:rsidRPr="007C693F" w:rsidRDefault="00F75789" w:rsidP="00F75789">
      <w:pPr>
        <w:pStyle w:val="ListParagraph"/>
        <w:numPr>
          <w:ilvl w:val="0"/>
          <w:numId w:val="2"/>
        </w:numPr>
        <w:spacing w:after="0" w:line="240" w:lineRule="auto"/>
        <w:rPr>
          <w:rFonts w:ascii="Times New Roman" w:hAnsi="Times New Roman" w:cs="Times New Roman"/>
          <w:sz w:val="22"/>
          <w:szCs w:val="22"/>
        </w:rPr>
      </w:pPr>
      <w:r w:rsidRPr="007C693F">
        <w:rPr>
          <w:rFonts w:ascii="Times New Roman" w:hAnsi="Times New Roman" w:cs="Times New Roman"/>
          <w:sz w:val="22"/>
          <w:szCs w:val="22"/>
        </w:rPr>
        <w:t>Recessed eyeball position and increased total solids</w:t>
      </w:r>
    </w:p>
    <w:p w14:paraId="4A04924E" w14:textId="77777777" w:rsidR="00F75789" w:rsidRPr="007C693F" w:rsidRDefault="00F75789" w:rsidP="00F75789">
      <w:pPr>
        <w:pStyle w:val="ListParagraph"/>
        <w:numPr>
          <w:ilvl w:val="0"/>
          <w:numId w:val="2"/>
        </w:numPr>
        <w:spacing w:after="0" w:line="240" w:lineRule="auto"/>
        <w:rPr>
          <w:rFonts w:ascii="Times New Roman" w:hAnsi="Times New Roman" w:cs="Times New Roman"/>
          <w:sz w:val="22"/>
          <w:szCs w:val="22"/>
        </w:rPr>
      </w:pPr>
      <w:r w:rsidRPr="007C693F">
        <w:rPr>
          <w:rFonts w:ascii="Times New Roman" w:hAnsi="Times New Roman" w:cs="Times New Roman"/>
          <w:sz w:val="22"/>
          <w:szCs w:val="22"/>
        </w:rPr>
        <w:t>Decreased tear production and increased total protein</w:t>
      </w:r>
    </w:p>
    <w:p w14:paraId="2C6D9021" w14:textId="77777777" w:rsidR="00F75789" w:rsidRPr="007C693F" w:rsidRDefault="00F75789" w:rsidP="00F75789">
      <w:pPr>
        <w:pStyle w:val="ListParagraph"/>
        <w:numPr>
          <w:ilvl w:val="0"/>
          <w:numId w:val="2"/>
        </w:numPr>
        <w:spacing w:after="0" w:line="240" w:lineRule="auto"/>
        <w:rPr>
          <w:rFonts w:ascii="Times New Roman" w:hAnsi="Times New Roman" w:cs="Times New Roman"/>
          <w:sz w:val="22"/>
          <w:szCs w:val="22"/>
        </w:rPr>
      </w:pPr>
      <w:r w:rsidRPr="007C693F">
        <w:rPr>
          <w:rFonts w:ascii="Times New Roman" w:hAnsi="Times New Roman" w:cs="Times New Roman"/>
          <w:sz w:val="22"/>
          <w:szCs w:val="22"/>
        </w:rPr>
        <w:t>Decreased body weight and increased hematocrit</w:t>
      </w:r>
    </w:p>
    <w:p w14:paraId="023F1B02" w14:textId="77777777" w:rsidR="00F75789" w:rsidRPr="007C693F" w:rsidRDefault="00F75789" w:rsidP="00F75789">
      <w:pPr>
        <w:pStyle w:val="ListParagraph"/>
        <w:numPr>
          <w:ilvl w:val="0"/>
          <w:numId w:val="2"/>
        </w:numPr>
        <w:spacing w:after="0" w:line="240" w:lineRule="auto"/>
        <w:rPr>
          <w:rFonts w:ascii="Times New Roman" w:hAnsi="Times New Roman" w:cs="Times New Roman"/>
          <w:sz w:val="22"/>
          <w:szCs w:val="22"/>
        </w:rPr>
      </w:pPr>
      <w:r w:rsidRPr="007C693F">
        <w:rPr>
          <w:rFonts w:ascii="Times New Roman" w:hAnsi="Times New Roman" w:cs="Times New Roman"/>
          <w:sz w:val="22"/>
          <w:szCs w:val="22"/>
        </w:rPr>
        <w:t>Mucosal strands and elevated uric acid</w:t>
      </w:r>
    </w:p>
    <w:p w14:paraId="49FBC71C" w14:textId="77777777" w:rsidR="00F75789" w:rsidRPr="007C693F" w:rsidRDefault="00F75789" w:rsidP="00F75789">
      <w:pPr>
        <w:spacing w:line="240" w:lineRule="auto"/>
        <w:rPr>
          <w:rFonts w:ascii="Times New Roman" w:hAnsi="Times New Roman" w:cs="Times New Roman"/>
        </w:rPr>
      </w:pPr>
    </w:p>
    <w:p w14:paraId="5B125D88"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Answer: B. Recessed eyeball position and increased total solids</w:t>
      </w:r>
    </w:p>
    <w:p w14:paraId="6A9B0B83" w14:textId="77777777" w:rsidR="00F75789" w:rsidRPr="007C693F" w:rsidRDefault="00F75789" w:rsidP="00F75789">
      <w:pPr>
        <w:spacing w:line="240" w:lineRule="auto"/>
        <w:rPr>
          <w:rFonts w:ascii="Times New Roman" w:hAnsi="Times New Roman" w:cs="Times New Roman"/>
        </w:rPr>
      </w:pPr>
    </w:p>
    <w:p w14:paraId="59158A03" w14:textId="77777777" w:rsidR="00F75789" w:rsidRPr="007C693F" w:rsidRDefault="00F75789" w:rsidP="00F75789">
      <w:pPr>
        <w:spacing w:line="240" w:lineRule="auto"/>
        <w:rPr>
          <w:rFonts w:ascii="Times New Roman" w:hAnsi="Times New Roman" w:cs="Times New Roman"/>
        </w:rPr>
      </w:pPr>
      <w:r w:rsidRPr="007C693F">
        <w:rPr>
          <w:rFonts w:ascii="Times New Roman" w:hAnsi="Times New Roman" w:cs="Times New Roman"/>
        </w:rPr>
        <w:t xml:space="preserve">Explanation: The following were not significantly different, and thought to be unreliable indicators of hydration: </w:t>
      </w:r>
      <w:proofErr w:type="spellStart"/>
      <w:r w:rsidRPr="007C693F">
        <w:rPr>
          <w:rFonts w:ascii="Times New Roman" w:hAnsi="Times New Roman" w:cs="Times New Roman"/>
        </w:rPr>
        <w:t>Shirmer</w:t>
      </w:r>
      <w:proofErr w:type="spellEnd"/>
      <w:r w:rsidRPr="007C693F">
        <w:rPr>
          <w:rFonts w:ascii="Times New Roman" w:hAnsi="Times New Roman" w:cs="Times New Roman"/>
        </w:rPr>
        <w:t xml:space="preserve"> tear test, mucosal moisture (mucosal strands), corneal moisture, uric acid, hematocrit</w:t>
      </w:r>
    </w:p>
    <w:p w14:paraId="2A5C84BC" w14:textId="77777777" w:rsidR="00F75789" w:rsidRPr="007C693F" w:rsidRDefault="00F75789" w:rsidP="00F75789">
      <w:pPr>
        <w:pStyle w:val="ListParagraph"/>
        <w:numPr>
          <w:ilvl w:val="0"/>
          <w:numId w:val="3"/>
        </w:numPr>
        <w:spacing w:after="0" w:line="240" w:lineRule="auto"/>
        <w:rPr>
          <w:rFonts w:ascii="Times New Roman" w:hAnsi="Times New Roman" w:cs="Times New Roman"/>
          <w:sz w:val="22"/>
          <w:szCs w:val="22"/>
        </w:rPr>
      </w:pPr>
      <w:r w:rsidRPr="007C693F">
        <w:rPr>
          <w:rFonts w:ascii="Times New Roman" w:hAnsi="Times New Roman" w:cs="Times New Roman"/>
          <w:sz w:val="22"/>
          <w:szCs w:val="22"/>
        </w:rPr>
        <w:lastRenderedPageBreak/>
        <w:t>Conversely, skin turgor, eyeball position, body weight, TS/TP, and osmolarity were significantly different, but were paired with NSD options</w:t>
      </w:r>
    </w:p>
    <w:p w14:paraId="3A5CEC80" w14:textId="77777777" w:rsidR="00F75789" w:rsidRPr="00C31EA9" w:rsidRDefault="00F75789" w:rsidP="00F75789">
      <w:pPr>
        <w:spacing w:line="240" w:lineRule="auto"/>
        <w:rPr>
          <w:rFonts w:ascii="Times New Roman" w:hAnsi="Times New Roman" w:cs="Times New Roman"/>
        </w:rPr>
      </w:pPr>
    </w:p>
    <w:p w14:paraId="7FA2F3F9" w14:textId="77777777" w:rsidR="00F75789" w:rsidRPr="00443876" w:rsidRDefault="00F75789" w:rsidP="00F75789">
      <w:pPr>
        <w:spacing w:line="240" w:lineRule="auto"/>
        <w:rPr>
          <w:rFonts w:ascii="Times New Roman" w:eastAsia="Times New Roman" w:hAnsi="Times New Roman" w:cs="Times New Roman"/>
          <w:color w:val="000000"/>
        </w:rPr>
      </w:pPr>
      <w:r w:rsidRPr="00443876">
        <w:rPr>
          <w:rFonts w:ascii="Calibri" w:eastAsia="Times New Roman" w:hAnsi="Calibri" w:cs="Calibri"/>
          <w:color w:val="000000"/>
        </w:rPr>
        <w:t>Journal of Herpetological Medicine and Surgery, 33(2): 116-120, 2023</w:t>
      </w:r>
    </w:p>
    <w:p w14:paraId="29768887" w14:textId="77777777" w:rsidR="00F75789" w:rsidRPr="00443876" w:rsidRDefault="00F75789" w:rsidP="00F75789">
      <w:pPr>
        <w:spacing w:line="240" w:lineRule="auto"/>
        <w:rPr>
          <w:rFonts w:ascii="Times New Roman" w:eastAsia="Times New Roman" w:hAnsi="Times New Roman" w:cs="Times New Roman"/>
          <w:color w:val="000000"/>
        </w:rPr>
      </w:pPr>
      <w:r w:rsidRPr="00443876">
        <w:rPr>
          <w:rFonts w:ascii="Calibri" w:eastAsia="Times New Roman" w:hAnsi="Calibri" w:cs="Calibri"/>
          <w:b/>
          <w:bCs/>
          <w:color w:val="000000"/>
        </w:rPr>
        <w:t>USE OF CAUDOVENTRAL-CRANIODORSAL AND CRANIOVENTRAL-CAUDODORSAL OBLIQUE RADIOGRAPHIC VIEWS MADE AT A 45 DEGREE TO THE FRONTAL PLANE FOR THE EVALUATION OF PELVIC GIRDLES IN PAINTED TURTLES (CHRYSEMYS PICTA)</w:t>
      </w:r>
    </w:p>
    <w:p w14:paraId="43605A44" w14:textId="77777777" w:rsidR="00F75789" w:rsidRPr="00443876" w:rsidRDefault="00F75789" w:rsidP="00F75789">
      <w:pPr>
        <w:spacing w:line="240" w:lineRule="auto"/>
        <w:rPr>
          <w:rFonts w:ascii="Times New Roman" w:eastAsia="Times New Roman" w:hAnsi="Times New Roman" w:cs="Times New Roman"/>
          <w:color w:val="000000"/>
        </w:rPr>
      </w:pPr>
      <w:r w:rsidRPr="00443876">
        <w:rPr>
          <w:rFonts w:ascii="Calibri" w:eastAsia="Times New Roman" w:hAnsi="Calibri" w:cs="Calibri"/>
          <w:color w:val="000000"/>
        </w:rPr>
        <w:t xml:space="preserve">Miranda </w:t>
      </w:r>
      <w:proofErr w:type="spellStart"/>
      <w:r w:rsidRPr="00443876">
        <w:rPr>
          <w:rFonts w:ascii="Calibri" w:eastAsia="Times New Roman" w:hAnsi="Calibri" w:cs="Calibri"/>
          <w:color w:val="000000"/>
        </w:rPr>
        <w:t>Torkelson</w:t>
      </w:r>
      <w:proofErr w:type="spellEnd"/>
      <w:r w:rsidRPr="00443876">
        <w:rPr>
          <w:rFonts w:ascii="Calibri" w:eastAsia="Times New Roman" w:hAnsi="Calibri" w:cs="Calibri"/>
          <w:color w:val="000000"/>
        </w:rPr>
        <w:t xml:space="preserve">, Ashley </w:t>
      </w:r>
      <w:proofErr w:type="spellStart"/>
      <w:r w:rsidRPr="00443876">
        <w:rPr>
          <w:rFonts w:ascii="Calibri" w:eastAsia="Times New Roman" w:hAnsi="Calibri" w:cs="Calibri"/>
          <w:color w:val="000000"/>
        </w:rPr>
        <w:t>Koetz</w:t>
      </w:r>
      <w:proofErr w:type="spellEnd"/>
      <w:r w:rsidRPr="00443876">
        <w:rPr>
          <w:rFonts w:ascii="Calibri" w:eastAsia="Times New Roman" w:hAnsi="Calibri" w:cs="Calibri"/>
          <w:color w:val="000000"/>
        </w:rPr>
        <w:t xml:space="preserve"> – Reviewed by LMM</w:t>
      </w:r>
    </w:p>
    <w:p w14:paraId="6273B785" w14:textId="77777777" w:rsidR="00F75789" w:rsidRDefault="00F75789" w:rsidP="00F75789">
      <w:pPr>
        <w:spacing w:line="240" w:lineRule="auto"/>
        <w:rPr>
          <w:rFonts w:ascii="Calibri" w:eastAsia="Times New Roman" w:hAnsi="Calibri" w:cs="Calibri"/>
          <w:b/>
          <w:bCs/>
          <w:color w:val="000000"/>
        </w:rPr>
      </w:pPr>
    </w:p>
    <w:p w14:paraId="0C545AD6" w14:textId="77777777" w:rsidR="00F75789" w:rsidRPr="00443876" w:rsidRDefault="00F75789" w:rsidP="00F75789">
      <w:pPr>
        <w:spacing w:line="240" w:lineRule="auto"/>
        <w:rPr>
          <w:rFonts w:ascii="Times New Roman" w:eastAsia="Times New Roman" w:hAnsi="Times New Roman" w:cs="Times New Roman"/>
          <w:color w:val="000000"/>
        </w:rPr>
      </w:pPr>
      <w:r w:rsidRPr="00443876">
        <w:rPr>
          <w:rFonts w:ascii="Calibri" w:eastAsia="Times New Roman" w:hAnsi="Calibri" w:cs="Calibri"/>
          <w:b/>
          <w:bCs/>
          <w:color w:val="000000"/>
        </w:rPr>
        <w:t>Question:</w:t>
      </w:r>
      <w:r w:rsidRPr="00443876">
        <w:rPr>
          <w:rFonts w:ascii="Calibri" w:eastAsia="Times New Roman" w:hAnsi="Calibri" w:cs="Calibri"/>
          <w:color w:val="000000"/>
        </w:rPr>
        <w:t xml:space="preserve"> Which additional bone is typically fractured in slider turtles with </w:t>
      </w:r>
      <w:r>
        <w:rPr>
          <w:rFonts w:ascii="Calibri" w:eastAsia="Times New Roman" w:hAnsi="Calibri" w:cs="Calibri"/>
          <w:color w:val="000000"/>
        </w:rPr>
        <w:t xml:space="preserve">caudal </w:t>
      </w:r>
      <w:proofErr w:type="spellStart"/>
      <w:r w:rsidRPr="00443876">
        <w:rPr>
          <w:rFonts w:ascii="Calibri" w:eastAsia="Times New Roman" w:hAnsi="Calibri" w:cs="Calibri"/>
          <w:color w:val="000000"/>
        </w:rPr>
        <w:t>carapacial</w:t>
      </w:r>
      <w:proofErr w:type="spellEnd"/>
      <w:r w:rsidRPr="00443876">
        <w:rPr>
          <w:rFonts w:ascii="Calibri" w:eastAsia="Times New Roman" w:hAnsi="Calibri" w:cs="Calibri"/>
          <w:color w:val="000000"/>
        </w:rPr>
        <w:t xml:space="preserve"> fractures presenting to wildlife rehabilitation hospitals?</w:t>
      </w:r>
    </w:p>
    <w:p w14:paraId="1B2D7E57" w14:textId="77777777" w:rsidR="00F75789" w:rsidRPr="00443876" w:rsidRDefault="00F75789" w:rsidP="00F75789">
      <w:pPr>
        <w:pStyle w:val="ListParagraph"/>
        <w:numPr>
          <w:ilvl w:val="0"/>
          <w:numId w:val="4"/>
        </w:numPr>
        <w:spacing w:after="0" w:line="240" w:lineRule="auto"/>
        <w:rPr>
          <w:rFonts w:ascii="Times New Roman" w:eastAsia="Times New Roman" w:hAnsi="Times New Roman" w:cs="Times New Roman"/>
          <w:color w:val="000000"/>
          <w:kern w:val="0"/>
          <w:sz w:val="22"/>
          <w:szCs w:val="22"/>
          <w14:ligatures w14:val="none"/>
        </w:rPr>
      </w:pPr>
      <w:r w:rsidRPr="00443876">
        <w:rPr>
          <w:rFonts w:ascii="Calibri" w:eastAsia="Times New Roman" w:hAnsi="Calibri" w:cs="Calibri"/>
          <w:color w:val="000000"/>
          <w:kern w:val="0"/>
          <w:sz w:val="22"/>
          <w:szCs w:val="22"/>
          <w14:ligatures w14:val="none"/>
        </w:rPr>
        <w:t>Ischium</w:t>
      </w:r>
    </w:p>
    <w:p w14:paraId="3B5484BB" w14:textId="77777777" w:rsidR="00F75789" w:rsidRPr="00443876" w:rsidRDefault="00F75789" w:rsidP="00F75789">
      <w:pPr>
        <w:pStyle w:val="ListParagraph"/>
        <w:numPr>
          <w:ilvl w:val="0"/>
          <w:numId w:val="4"/>
        </w:numPr>
        <w:spacing w:after="0" w:line="240" w:lineRule="auto"/>
        <w:rPr>
          <w:rFonts w:ascii="Times New Roman" w:eastAsia="Times New Roman" w:hAnsi="Times New Roman" w:cs="Times New Roman"/>
          <w:color w:val="000000"/>
          <w:kern w:val="0"/>
          <w:sz w:val="22"/>
          <w:szCs w:val="22"/>
          <w14:ligatures w14:val="none"/>
        </w:rPr>
      </w:pPr>
      <w:r w:rsidRPr="00443876">
        <w:rPr>
          <w:rFonts w:ascii="Calibri" w:eastAsia="Times New Roman" w:hAnsi="Calibri" w:cs="Calibri"/>
          <w:color w:val="000000"/>
          <w:kern w:val="0"/>
          <w:sz w:val="22"/>
          <w:szCs w:val="22"/>
          <w14:ligatures w14:val="none"/>
        </w:rPr>
        <w:t>Pubis</w:t>
      </w:r>
    </w:p>
    <w:p w14:paraId="3474CB75" w14:textId="77777777" w:rsidR="00F75789" w:rsidRPr="00443876" w:rsidRDefault="00F75789" w:rsidP="00F75789">
      <w:pPr>
        <w:pStyle w:val="ListParagraph"/>
        <w:numPr>
          <w:ilvl w:val="0"/>
          <w:numId w:val="4"/>
        </w:numPr>
        <w:spacing w:after="0" w:line="240" w:lineRule="auto"/>
        <w:rPr>
          <w:rFonts w:ascii="Times New Roman" w:eastAsia="Times New Roman" w:hAnsi="Times New Roman" w:cs="Times New Roman"/>
          <w:color w:val="000000"/>
          <w:kern w:val="0"/>
          <w:sz w:val="22"/>
          <w:szCs w:val="22"/>
          <w14:ligatures w14:val="none"/>
        </w:rPr>
      </w:pPr>
      <w:r w:rsidRPr="00443876">
        <w:rPr>
          <w:rFonts w:ascii="Calibri" w:eastAsia="Times New Roman" w:hAnsi="Calibri" w:cs="Calibri"/>
          <w:color w:val="000000"/>
          <w:kern w:val="0"/>
          <w:sz w:val="22"/>
          <w:szCs w:val="22"/>
          <w14:ligatures w14:val="none"/>
        </w:rPr>
        <w:t>Ilium</w:t>
      </w:r>
    </w:p>
    <w:p w14:paraId="7FAE12F4" w14:textId="77777777" w:rsidR="00F75789" w:rsidRPr="00443876" w:rsidRDefault="00F75789" w:rsidP="00F75789">
      <w:pPr>
        <w:pStyle w:val="ListParagraph"/>
        <w:numPr>
          <w:ilvl w:val="0"/>
          <w:numId w:val="4"/>
        </w:numPr>
        <w:spacing w:after="0" w:line="240" w:lineRule="auto"/>
        <w:rPr>
          <w:rFonts w:ascii="Times New Roman" w:eastAsia="Times New Roman" w:hAnsi="Times New Roman" w:cs="Times New Roman"/>
          <w:color w:val="000000"/>
          <w:kern w:val="0"/>
          <w:sz w:val="22"/>
          <w:szCs w:val="22"/>
          <w14:ligatures w14:val="none"/>
        </w:rPr>
      </w:pPr>
      <w:r w:rsidRPr="00443876">
        <w:rPr>
          <w:rFonts w:ascii="Calibri" w:eastAsia="Times New Roman" w:hAnsi="Calibri" w:cs="Calibri"/>
          <w:color w:val="000000"/>
          <w:kern w:val="0"/>
          <w:sz w:val="22"/>
          <w:szCs w:val="22"/>
          <w14:ligatures w14:val="none"/>
        </w:rPr>
        <w:t>Femur</w:t>
      </w:r>
    </w:p>
    <w:p w14:paraId="541A1778" w14:textId="77777777" w:rsidR="00F75789" w:rsidRPr="00443876" w:rsidRDefault="00F75789" w:rsidP="00F75789">
      <w:pPr>
        <w:pStyle w:val="ListParagraph"/>
        <w:numPr>
          <w:ilvl w:val="0"/>
          <w:numId w:val="4"/>
        </w:numPr>
        <w:spacing w:after="0" w:line="240" w:lineRule="auto"/>
        <w:rPr>
          <w:rFonts w:ascii="Times New Roman" w:eastAsia="Times New Roman" w:hAnsi="Times New Roman" w:cs="Times New Roman"/>
          <w:color w:val="000000"/>
          <w:kern w:val="0"/>
          <w:sz w:val="22"/>
          <w:szCs w:val="22"/>
          <w14:ligatures w14:val="none"/>
        </w:rPr>
      </w:pPr>
      <w:r w:rsidRPr="00443876">
        <w:rPr>
          <w:rFonts w:ascii="Calibri" w:eastAsia="Times New Roman" w:hAnsi="Calibri" w:cs="Calibri"/>
          <w:color w:val="000000"/>
          <w:kern w:val="0"/>
          <w:sz w:val="22"/>
          <w:szCs w:val="22"/>
          <w14:ligatures w14:val="none"/>
        </w:rPr>
        <w:t>Scapula</w:t>
      </w:r>
    </w:p>
    <w:p w14:paraId="0803481D" w14:textId="77777777" w:rsidR="00F75789" w:rsidRPr="00443876" w:rsidRDefault="00F75789" w:rsidP="00F75789">
      <w:pPr>
        <w:spacing w:line="240" w:lineRule="auto"/>
        <w:rPr>
          <w:rFonts w:ascii="Times New Roman" w:eastAsia="Times New Roman" w:hAnsi="Times New Roman" w:cs="Times New Roman"/>
          <w:color w:val="000000"/>
        </w:rPr>
      </w:pPr>
    </w:p>
    <w:p w14:paraId="00F23B22" w14:textId="77777777" w:rsidR="00F75789" w:rsidRDefault="00F75789" w:rsidP="00F75789">
      <w:pPr>
        <w:spacing w:line="240" w:lineRule="auto"/>
        <w:rPr>
          <w:rFonts w:ascii="Calibri" w:eastAsia="Times New Roman" w:hAnsi="Calibri" w:cs="Calibri"/>
          <w:color w:val="000000"/>
        </w:rPr>
      </w:pPr>
      <w:r w:rsidRPr="00443876">
        <w:rPr>
          <w:rFonts w:ascii="Calibri" w:eastAsia="Times New Roman" w:hAnsi="Calibri" w:cs="Calibri"/>
          <w:b/>
          <w:bCs/>
          <w:color w:val="000000"/>
        </w:rPr>
        <w:t>Answe</w:t>
      </w:r>
      <w:r>
        <w:rPr>
          <w:rFonts w:ascii="Calibri" w:eastAsia="Times New Roman" w:hAnsi="Calibri" w:cs="Calibri"/>
          <w:b/>
          <w:bCs/>
          <w:color w:val="000000"/>
        </w:rPr>
        <w:t xml:space="preserve">r: </w:t>
      </w:r>
      <w:r w:rsidRPr="00443876">
        <w:rPr>
          <w:rFonts w:ascii="Calibri" w:eastAsia="Times New Roman" w:hAnsi="Calibri" w:cs="Calibri"/>
          <w:color w:val="000000"/>
        </w:rPr>
        <w:t xml:space="preserve">C, Due to its vertical nature, the ilium typically fractures when crushing force occurs to the carapace, causing a </w:t>
      </w:r>
      <w:proofErr w:type="spellStart"/>
      <w:r w:rsidRPr="00443876">
        <w:rPr>
          <w:rFonts w:ascii="Calibri" w:eastAsia="Times New Roman" w:hAnsi="Calibri" w:cs="Calibri"/>
          <w:color w:val="000000"/>
        </w:rPr>
        <w:t>carapacial</w:t>
      </w:r>
      <w:proofErr w:type="spellEnd"/>
      <w:r w:rsidRPr="00443876">
        <w:rPr>
          <w:rFonts w:ascii="Calibri" w:eastAsia="Times New Roman" w:hAnsi="Calibri" w:cs="Calibri"/>
          <w:color w:val="000000"/>
        </w:rPr>
        <w:t xml:space="preserve"> fracture and subsequent </w:t>
      </w:r>
      <w:proofErr w:type="spellStart"/>
      <w:r w:rsidRPr="00443876">
        <w:rPr>
          <w:rFonts w:ascii="Calibri" w:eastAsia="Times New Roman" w:hAnsi="Calibri" w:cs="Calibri"/>
          <w:color w:val="000000"/>
        </w:rPr>
        <w:t>ilial</w:t>
      </w:r>
      <w:proofErr w:type="spellEnd"/>
      <w:r w:rsidRPr="00443876">
        <w:rPr>
          <w:rFonts w:ascii="Calibri" w:eastAsia="Times New Roman" w:hAnsi="Calibri" w:cs="Calibri"/>
          <w:color w:val="000000"/>
        </w:rPr>
        <w:t xml:space="preserve"> fracture.</w:t>
      </w:r>
    </w:p>
    <w:p w14:paraId="67D33C79" w14:textId="77777777" w:rsidR="00F75789" w:rsidRDefault="00F75789" w:rsidP="00F75789">
      <w:pPr>
        <w:pBdr>
          <w:bottom w:val="single" w:sz="12" w:space="1" w:color="auto"/>
        </w:pBdr>
        <w:spacing w:line="240" w:lineRule="auto"/>
        <w:rPr>
          <w:rFonts w:ascii="Calibri" w:eastAsia="Times New Roman" w:hAnsi="Calibri" w:cs="Calibri"/>
          <w:color w:val="000000"/>
        </w:rPr>
      </w:pPr>
    </w:p>
    <w:p w14:paraId="2DC3E5D8" w14:textId="77777777" w:rsidR="00F75789" w:rsidRDefault="00F75789" w:rsidP="00F75789">
      <w:pPr>
        <w:spacing w:line="240" w:lineRule="auto"/>
        <w:rPr>
          <w:rFonts w:ascii="Calibri" w:eastAsia="Times New Roman" w:hAnsi="Calibri" w:cs="Calibri"/>
          <w:color w:val="000000"/>
        </w:rPr>
      </w:pPr>
    </w:p>
    <w:p w14:paraId="4F556663" w14:textId="77777777" w:rsidR="00F75789" w:rsidRPr="006914BA" w:rsidRDefault="00F75789" w:rsidP="00F75789">
      <w:pPr>
        <w:spacing w:line="240" w:lineRule="auto"/>
        <w:rPr>
          <w:rFonts w:ascii="Times New Roman" w:eastAsia="Times New Roman" w:hAnsi="Times New Roman" w:cs="Times New Roman"/>
          <w:color w:val="000000"/>
        </w:rPr>
      </w:pPr>
      <w:r w:rsidRPr="006914BA">
        <w:rPr>
          <w:rFonts w:ascii="Calibri" w:eastAsia="Times New Roman" w:hAnsi="Calibri" w:cs="Calibri"/>
          <w:color w:val="000000"/>
        </w:rPr>
        <w:t>Journal of Herpetological Medicine and Surgery, 3</w:t>
      </w:r>
      <w:r>
        <w:rPr>
          <w:rFonts w:ascii="Calibri" w:eastAsia="Times New Roman" w:hAnsi="Calibri" w:cs="Calibri"/>
          <w:color w:val="000000"/>
        </w:rPr>
        <w:t>4</w:t>
      </w:r>
      <w:r w:rsidRPr="006914BA">
        <w:rPr>
          <w:rFonts w:ascii="Calibri" w:eastAsia="Times New Roman" w:hAnsi="Calibri" w:cs="Calibri"/>
          <w:color w:val="000000"/>
        </w:rPr>
        <w:t>(</w:t>
      </w:r>
      <w:r>
        <w:rPr>
          <w:rFonts w:ascii="Calibri" w:eastAsia="Times New Roman" w:hAnsi="Calibri" w:cs="Calibri"/>
          <w:color w:val="000000"/>
        </w:rPr>
        <w:t>3</w:t>
      </w:r>
      <w:r w:rsidRPr="006914BA">
        <w:rPr>
          <w:rFonts w:ascii="Calibri" w:eastAsia="Times New Roman" w:hAnsi="Calibri" w:cs="Calibri"/>
          <w:color w:val="000000"/>
        </w:rPr>
        <w:t xml:space="preserve">): </w:t>
      </w:r>
      <w:r>
        <w:rPr>
          <w:rFonts w:ascii="Calibri" w:eastAsia="Times New Roman" w:hAnsi="Calibri" w:cs="Calibri"/>
          <w:color w:val="000000"/>
        </w:rPr>
        <w:t>175-183</w:t>
      </w:r>
      <w:r w:rsidRPr="006914BA">
        <w:rPr>
          <w:rFonts w:ascii="Calibri" w:eastAsia="Times New Roman" w:hAnsi="Calibri" w:cs="Calibri"/>
          <w:color w:val="000000"/>
        </w:rPr>
        <w:t>, 202</w:t>
      </w:r>
      <w:r>
        <w:rPr>
          <w:rFonts w:ascii="Calibri" w:hAnsi="Calibri" w:cs="Calibri"/>
          <w:color w:val="000000"/>
        </w:rPr>
        <w:t>4</w:t>
      </w:r>
    </w:p>
    <w:p w14:paraId="1A45B26B" w14:textId="77777777" w:rsidR="00F75789" w:rsidRDefault="00F75789" w:rsidP="00F75789">
      <w:pPr>
        <w:rPr>
          <w:rFonts w:ascii="Calibri" w:hAnsi="Calibri" w:cs="Calibri"/>
          <w:color w:val="000000"/>
        </w:rPr>
      </w:pPr>
      <w:r w:rsidRPr="00392707">
        <w:rPr>
          <w:rFonts w:ascii="Calibri" w:hAnsi="Calibri" w:cs="Calibri"/>
          <w:b/>
          <w:bCs/>
        </w:rPr>
        <w:t>DIAGNOSIS OF ORTHOPEDIC FRACTURES USING CRANIDORSAL</w:t>
      </w:r>
      <w:r>
        <w:rPr>
          <w:rFonts w:ascii="Calibri" w:hAnsi="Calibri" w:cs="Calibri"/>
          <w:b/>
          <w:bCs/>
        </w:rPr>
        <w:t>-</w:t>
      </w:r>
      <w:r w:rsidRPr="00392707">
        <w:rPr>
          <w:rFonts w:ascii="Calibri" w:hAnsi="Calibri" w:cs="Calibri"/>
          <w:b/>
          <w:bCs/>
        </w:rPr>
        <w:t>CAUDOVENTRAL OBLIQUE AND CAUDODORSAL-CRANIOVENTRAL OBLIQUE RADIOGRAPHIC VIEWS MADE AT 45</w:t>
      </w:r>
      <w:r w:rsidRPr="00392707">
        <w:rPr>
          <w:rFonts w:ascii="Calibri" w:hAnsi="Calibri" w:cs="Calibri"/>
          <w:b/>
          <w:bCs/>
          <w:color w:val="000000"/>
        </w:rPr>
        <w:t>° TO THE FRONTAL PLANE IN FOUR WILD TURTLES</w:t>
      </w:r>
      <w:r>
        <w:rPr>
          <w:rFonts w:ascii="Calibri" w:hAnsi="Calibri" w:cs="Calibri"/>
          <w:b/>
          <w:bCs/>
          <w:color w:val="000000"/>
        </w:rPr>
        <w:br/>
      </w:r>
      <w:r w:rsidRPr="00392707">
        <w:rPr>
          <w:rFonts w:ascii="Calibri" w:hAnsi="Calibri" w:cs="Calibri"/>
          <w:color w:val="000000"/>
        </w:rPr>
        <w:t>Chung et al – Reviewed by LMM</w:t>
      </w:r>
    </w:p>
    <w:p w14:paraId="7EDA6D29" w14:textId="77777777" w:rsidR="00F75789" w:rsidRPr="00F54E40" w:rsidRDefault="00F75789" w:rsidP="00F75789">
      <w:pPr>
        <w:rPr>
          <w:rFonts w:ascii="Calibri" w:hAnsi="Calibri" w:cs="Calibri"/>
          <w:color w:val="000000"/>
        </w:rPr>
      </w:pPr>
      <w:r w:rsidRPr="00F54E40">
        <w:rPr>
          <w:rFonts w:ascii="Calibri" w:hAnsi="Calibri" w:cs="Calibri"/>
          <w:b/>
          <w:bCs/>
          <w:color w:val="000000"/>
        </w:rPr>
        <w:t>Question:</w:t>
      </w:r>
      <w:r>
        <w:rPr>
          <w:rFonts w:ascii="Calibri" w:hAnsi="Calibri" w:cs="Calibri"/>
          <w:color w:val="000000"/>
        </w:rPr>
        <w:t xml:space="preserve"> Which radiographic view is most clinically useful in assessing the pelvic girdle in chelonians?</w:t>
      </w:r>
    </w:p>
    <w:p w14:paraId="1C9ACA3D" w14:textId="77777777" w:rsidR="00F75789" w:rsidRPr="00F54E40" w:rsidRDefault="00F75789" w:rsidP="00F75789">
      <w:pPr>
        <w:rPr>
          <w:rFonts w:ascii="Calibri" w:hAnsi="Calibri" w:cs="Calibri"/>
          <w:b/>
          <w:bCs/>
          <w:color w:val="000000"/>
        </w:rPr>
      </w:pPr>
      <w:r w:rsidRPr="00F54E40">
        <w:rPr>
          <w:rFonts w:ascii="Calibri" w:hAnsi="Calibri" w:cs="Calibri"/>
          <w:b/>
          <w:bCs/>
          <w:color w:val="000000"/>
        </w:rPr>
        <w:t>Answer:</w:t>
      </w:r>
      <w:r>
        <w:rPr>
          <w:rFonts w:ascii="Calibri" w:hAnsi="Calibri" w:cs="Calibri"/>
          <w:color w:val="000000"/>
        </w:rPr>
        <w:t xml:space="preserve"> Cd45D-CrV (</w:t>
      </w:r>
      <w:proofErr w:type="spellStart"/>
      <w:r>
        <w:rPr>
          <w:rFonts w:ascii="Calibri" w:hAnsi="Calibri" w:cs="Calibri"/>
          <w:color w:val="000000"/>
        </w:rPr>
        <w:t>Caudodorsal</w:t>
      </w:r>
      <w:proofErr w:type="spellEnd"/>
      <w:r>
        <w:rPr>
          <w:rFonts w:ascii="Calibri" w:hAnsi="Calibri" w:cs="Calibri"/>
          <w:color w:val="000000"/>
        </w:rPr>
        <w:t xml:space="preserve">-Cranioventral Oblique at </w:t>
      </w:r>
      <w:proofErr w:type="gramStart"/>
      <w:r>
        <w:rPr>
          <w:rFonts w:ascii="Calibri" w:hAnsi="Calibri" w:cs="Calibri"/>
          <w:color w:val="000000"/>
        </w:rPr>
        <w:t>45 degree</w:t>
      </w:r>
      <w:proofErr w:type="gramEnd"/>
      <w:r>
        <w:rPr>
          <w:rFonts w:ascii="Calibri" w:hAnsi="Calibri" w:cs="Calibri"/>
          <w:color w:val="000000"/>
        </w:rPr>
        <w:t xml:space="preserve"> angle)</w:t>
      </w:r>
    </w:p>
    <w:p w14:paraId="794D41E0" w14:textId="77777777" w:rsidR="00F75789" w:rsidRPr="00443876" w:rsidRDefault="00F75789" w:rsidP="00F75789">
      <w:pPr>
        <w:spacing w:line="240" w:lineRule="auto"/>
        <w:rPr>
          <w:rFonts w:ascii="Times New Roman" w:eastAsia="Times New Roman" w:hAnsi="Times New Roman" w:cs="Times New Roman"/>
          <w:color w:val="000000"/>
        </w:rPr>
      </w:pPr>
    </w:p>
    <w:p w14:paraId="23E525AA" w14:textId="77777777" w:rsidR="00F75789" w:rsidRPr="00443876" w:rsidRDefault="00F75789" w:rsidP="00F75789">
      <w:pPr>
        <w:spacing w:after="240" w:line="240" w:lineRule="auto"/>
        <w:rPr>
          <w:rFonts w:ascii="Times New Roman" w:eastAsia="Times New Roman" w:hAnsi="Times New Roman" w:cs="Times New Roman"/>
        </w:rPr>
      </w:pPr>
    </w:p>
    <w:p w14:paraId="28E2A4D4" w14:textId="77777777" w:rsidR="00F75789" w:rsidRPr="00443876" w:rsidRDefault="00F75789" w:rsidP="00F75789">
      <w:pPr>
        <w:spacing w:line="240" w:lineRule="auto"/>
        <w:rPr>
          <w:rFonts w:ascii="Times New Roman" w:eastAsia="Times New Roman" w:hAnsi="Times New Roman" w:cs="Times New Roman"/>
        </w:rPr>
      </w:pPr>
    </w:p>
    <w:p w14:paraId="19DA2A17" w14:textId="77777777" w:rsidR="00F75789" w:rsidRDefault="00F75789" w:rsidP="00F75789"/>
    <w:p w14:paraId="7EA17555" w14:textId="77777777" w:rsidR="00F75789" w:rsidRPr="00F97055" w:rsidRDefault="00F75789" w:rsidP="00F75789">
      <w:pPr>
        <w:spacing w:line="240" w:lineRule="auto"/>
        <w:rPr>
          <w:rFonts w:ascii="Times New Roman" w:eastAsia="Times New Roman" w:hAnsi="Times New Roman" w:cs="Times New Roman"/>
          <w:sz w:val="24"/>
          <w:szCs w:val="24"/>
          <w:lang w:val="en-US"/>
        </w:rPr>
      </w:pPr>
      <w:r w:rsidRPr="00F97055">
        <w:rPr>
          <w:rFonts w:ascii="Calibri" w:eastAsia="Times New Roman" w:hAnsi="Calibri" w:cs="Calibri"/>
          <w:color w:val="000000"/>
          <w:lang w:val="en-US"/>
        </w:rPr>
        <w:t>Journal of the American Veterinary Medical Association, 260(S2): S101-S110, 2022</w:t>
      </w:r>
    </w:p>
    <w:p w14:paraId="131F4713" w14:textId="77777777" w:rsidR="00F75789" w:rsidRPr="00F97055" w:rsidRDefault="00F75789" w:rsidP="00F75789">
      <w:pPr>
        <w:spacing w:line="240" w:lineRule="auto"/>
        <w:rPr>
          <w:rFonts w:ascii="Times New Roman" w:eastAsia="Times New Roman" w:hAnsi="Times New Roman" w:cs="Times New Roman"/>
          <w:sz w:val="24"/>
          <w:szCs w:val="24"/>
          <w:lang w:val="en-US"/>
        </w:rPr>
      </w:pPr>
      <w:r w:rsidRPr="00F97055">
        <w:rPr>
          <w:rFonts w:ascii="Calibri" w:eastAsia="Times New Roman" w:hAnsi="Calibri" w:cs="Calibri"/>
          <w:b/>
          <w:bCs/>
          <w:color w:val="000000"/>
          <w:lang w:val="en-US"/>
        </w:rPr>
        <w:t>Relationship, difference, and diagnostic discordance between blood ionized and total calcium concentrations in client-owned chelonians</w:t>
      </w:r>
    </w:p>
    <w:p w14:paraId="31F66DDC" w14:textId="77777777" w:rsidR="00F75789" w:rsidRPr="00F97055" w:rsidRDefault="00F75789" w:rsidP="00F75789">
      <w:pPr>
        <w:spacing w:line="240" w:lineRule="auto"/>
        <w:rPr>
          <w:rFonts w:ascii="Times New Roman" w:eastAsia="Times New Roman" w:hAnsi="Times New Roman" w:cs="Times New Roman"/>
          <w:sz w:val="24"/>
          <w:szCs w:val="24"/>
          <w:lang w:val="en-US"/>
        </w:rPr>
      </w:pPr>
      <w:r w:rsidRPr="00F97055">
        <w:rPr>
          <w:rFonts w:ascii="Calibri" w:eastAsia="Times New Roman" w:hAnsi="Calibri" w:cs="Calibri"/>
          <w:color w:val="000000"/>
          <w:lang w:val="en-US"/>
        </w:rPr>
        <w:t>Nicola Di Girolamo</w:t>
      </w:r>
    </w:p>
    <w:p w14:paraId="55E14F1D" w14:textId="77777777" w:rsidR="00F75789" w:rsidRPr="00F97055" w:rsidRDefault="00F75789" w:rsidP="00F75789">
      <w:pPr>
        <w:spacing w:line="240" w:lineRule="auto"/>
        <w:rPr>
          <w:rFonts w:ascii="Times New Roman" w:eastAsia="Times New Roman" w:hAnsi="Times New Roman" w:cs="Times New Roman"/>
          <w:sz w:val="24"/>
          <w:szCs w:val="24"/>
          <w:lang w:val="en-US"/>
        </w:rPr>
      </w:pPr>
    </w:p>
    <w:p w14:paraId="3FA4DC3C" w14:textId="77777777" w:rsidR="00F75789" w:rsidRPr="00F97055" w:rsidRDefault="00F75789" w:rsidP="00F75789">
      <w:pPr>
        <w:spacing w:line="240" w:lineRule="auto"/>
        <w:rPr>
          <w:rFonts w:ascii="Times New Roman" w:eastAsia="Times New Roman" w:hAnsi="Times New Roman" w:cs="Times New Roman"/>
          <w:b/>
          <w:bCs/>
          <w:sz w:val="24"/>
          <w:szCs w:val="24"/>
          <w:lang w:val="en-US"/>
        </w:rPr>
      </w:pPr>
      <w:r w:rsidRPr="00F97055">
        <w:rPr>
          <w:rFonts w:ascii="Calibri" w:eastAsia="Times New Roman" w:hAnsi="Calibri" w:cs="Calibri"/>
          <w:b/>
          <w:bCs/>
          <w:color w:val="000000"/>
          <w:lang w:val="en-US"/>
        </w:rPr>
        <w:t>Question:</w:t>
      </w:r>
    </w:p>
    <w:p w14:paraId="32A1B553" w14:textId="77777777" w:rsidR="00F75789" w:rsidRPr="00F97055" w:rsidRDefault="00F75789" w:rsidP="00F75789">
      <w:pPr>
        <w:spacing w:line="240" w:lineRule="auto"/>
        <w:rPr>
          <w:rFonts w:ascii="Times New Roman" w:eastAsia="Times New Roman" w:hAnsi="Times New Roman" w:cs="Times New Roman"/>
          <w:sz w:val="24"/>
          <w:szCs w:val="24"/>
          <w:lang w:val="en-US"/>
        </w:rPr>
      </w:pPr>
    </w:p>
    <w:p w14:paraId="00B60E98" w14:textId="77777777" w:rsidR="00F75789" w:rsidRDefault="00F75789" w:rsidP="00F75789">
      <w:pPr>
        <w:spacing w:line="240" w:lineRule="auto"/>
        <w:rPr>
          <w:rFonts w:ascii="Calibri" w:eastAsia="Times New Roman" w:hAnsi="Calibri" w:cs="Calibri"/>
          <w:color w:val="000000"/>
          <w:lang w:val="en-US"/>
        </w:rPr>
      </w:pPr>
      <w:r w:rsidRPr="00F97055">
        <w:rPr>
          <w:rFonts w:ascii="Calibri" w:eastAsia="Times New Roman" w:hAnsi="Calibri" w:cs="Calibri"/>
          <w:color w:val="000000"/>
          <w:lang w:val="en-US"/>
        </w:rPr>
        <w:t>Which of the following statements is most correct regarding total calcium and ionized calcium in chelonians?</w:t>
      </w:r>
    </w:p>
    <w:p w14:paraId="635A7DBC" w14:textId="77777777" w:rsidR="00F75789" w:rsidRDefault="00F75789" w:rsidP="00F75789">
      <w:pPr>
        <w:spacing w:line="240" w:lineRule="auto"/>
        <w:rPr>
          <w:rFonts w:ascii="Calibri" w:eastAsia="Times New Roman" w:hAnsi="Calibri" w:cs="Calibri"/>
          <w:color w:val="000000"/>
          <w:lang w:val="en-US"/>
        </w:rPr>
      </w:pPr>
    </w:p>
    <w:p w14:paraId="21968F0F" w14:textId="77777777" w:rsidR="00F75789" w:rsidRPr="00097179" w:rsidRDefault="00F75789" w:rsidP="00F75789">
      <w:pPr>
        <w:pStyle w:val="ListParagraph"/>
        <w:numPr>
          <w:ilvl w:val="0"/>
          <w:numId w:val="5"/>
        </w:numPr>
        <w:spacing w:after="0" w:line="240" w:lineRule="auto"/>
        <w:rPr>
          <w:rFonts w:ascii="Times New Roman" w:eastAsia="Times New Roman" w:hAnsi="Times New Roman" w:cs="Times New Roman"/>
        </w:rPr>
      </w:pPr>
      <w:proofErr w:type="spellStart"/>
      <w:r w:rsidRPr="00097179">
        <w:rPr>
          <w:rFonts w:ascii="Calibri" w:eastAsia="Times New Roman" w:hAnsi="Calibri" w:cs="Calibri"/>
          <w:color w:val="000000"/>
        </w:rPr>
        <w:t>iCa</w:t>
      </w:r>
      <w:proofErr w:type="spellEnd"/>
      <w:r w:rsidRPr="00097179">
        <w:rPr>
          <w:rFonts w:ascii="Calibri" w:eastAsia="Times New Roman" w:hAnsi="Calibri" w:cs="Calibri"/>
          <w:color w:val="000000"/>
        </w:rPr>
        <w:t xml:space="preserve"> increased for each unit increase of albumin</w:t>
      </w:r>
    </w:p>
    <w:p w14:paraId="27FAF7C2" w14:textId="77777777" w:rsidR="00F75789" w:rsidRPr="00097179" w:rsidRDefault="00F75789" w:rsidP="00F75789">
      <w:pPr>
        <w:pStyle w:val="ListParagraph"/>
        <w:numPr>
          <w:ilvl w:val="0"/>
          <w:numId w:val="5"/>
        </w:numPr>
        <w:spacing w:after="0" w:line="240" w:lineRule="auto"/>
        <w:rPr>
          <w:rFonts w:ascii="Times New Roman" w:eastAsia="Times New Roman" w:hAnsi="Times New Roman" w:cs="Times New Roman"/>
        </w:rPr>
      </w:pPr>
      <w:proofErr w:type="spellStart"/>
      <w:r w:rsidRPr="00097179">
        <w:rPr>
          <w:rFonts w:ascii="Calibri" w:eastAsia="Times New Roman" w:hAnsi="Calibri" w:cs="Calibri"/>
          <w:color w:val="000000"/>
        </w:rPr>
        <w:t>iCa</w:t>
      </w:r>
      <w:proofErr w:type="spellEnd"/>
      <w:r w:rsidRPr="00097179">
        <w:rPr>
          <w:rFonts w:ascii="Calibri" w:eastAsia="Times New Roman" w:hAnsi="Calibri" w:cs="Calibri"/>
          <w:color w:val="000000"/>
        </w:rPr>
        <w:t xml:space="preserve"> was higher in chelonians with reproductive disease than disease of the urinary system</w:t>
      </w:r>
    </w:p>
    <w:p w14:paraId="61FFA7FD" w14:textId="77777777" w:rsidR="00F75789" w:rsidRPr="00097179" w:rsidRDefault="00F75789" w:rsidP="00F75789">
      <w:pPr>
        <w:pStyle w:val="ListParagraph"/>
        <w:numPr>
          <w:ilvl w:val="0"/>
          <w:numId w:val="5"/>
        </w:numPr>
        <w:spacing w:after="0" w:line="240" w:lineRule="auto"/>
        <w:rPr>
          <w:rFonts w:ascii="Times New Roman" w:eastAsia="Times New Roman" w:hAnsi="Times New Roman" w:cs="Times New Roman"/>
        </w:rPr>
      </w:pPr>
      <w:proofErr w:type="spellStart"/>
      <w:r w:rsidRPr="00097179">
        <w:rPr>
          <w:rFonts w:ascii="Calibri" w:eastAsia="Times New Roman" w:hAnsi="Calibri" w:cs="Calibri"/>
          <w:color w:val="000000"/>
        </w:rPr>
        <w:t>iCa</w:t>
      </w:r>
      <w:proofErr w:type="spellEnd"/>
      <w:r w:rsidRPr="00097179">
        <w:rPr>
          <w:rFonts w:ascii="Calibri" w:eastAsia="Times New Roman" w:hAnsi="Calibri" w:cs="Calibri"/>
          <w:color w:val="000000"/>
        </w:rPr>
        <w:t xml:space="preserve"> was higher in females than in animals of unknown sex</w:t>
      </w:r>
    </w:p>
    <w:p w14:paraId="27DC7EEF" w14:textId="77777777" w:rsidR="00F75789" w:rsidRPr="00097179" w:rsidRDefault="00F75789" w:rsidP="00F75789">
      <w:pPr>
        <w:pStyle w:val="ListParagraph"/>
        <w:numPr>
          <w:ilvl w:val="0"/>
          <w:numId w:val="5"/>
        </w:numPr>
        <w:spacing w:after="0" w:line="240" w:lineRule="auto"/>
        <w:rPr>
          <w:rFonts w:ascii="Times New Roman" w:eastAsia="Times New Roman" w:hAnsi="Times New Roman" w:cs="Times New Roman"/>
        </w:rPr>
      </w:pPr>
      <w:r w:rsidRPr="00097179">
        <w:rPr>
          <w:rFonts w:ascii="Calibri" w:eastAsia="Times New Roman" w:hAnsi="Calibri" w:cs="Calibri"/>
          <w:color w:val="000000"/>
        </w:rPr>
        <w:lastRenderedPageBreak/>
        <w:t>Total calcium was lower in chelonians with reproductive disease than disease of the urinary system </w:t>
      </w:r>
    </w:p>
    <w:p w14:paraId="50FE717D" w14:textId="77777777" w:rsidR="00F75789" w:rsidRPr="00097179" w:rsidRDefault="00F75789" w:rsidP="00F75789">
      <w:pPr>
        <w:pStyle w:val="ListParagraph"/>
        <w:numPr>
          <w:ilvl w:val="0"/>
          <w:numId w:val="5"/>
        </w:numPr>
        <w:spacing w:after="0" w:line="240" w:lineRule="auto"/>
        <w:rPr>
          <w:rFonts w:ascii="Times New Roman" w:eastAsia="Times New Roman" w:hAnsi="Times New Roman" w:cs="Times New Roman"/>
        </w:rPr>
      </w:pPr>
      <w:r w:rsidRPr="00097179">
        <w:rPr>
          <w:rFonts w:ascii="Calibri" w:eastAsia="Times New Roman" w:hAnsi="Calibri" w:cs="Calibri"/>
          <w:color w:val="000000"/>
        </w:rPr>
        <w:t>Bound calcium was higher in females than in animals of unknown sex</w:t>
      </w:r>
    </w:p>
    <w:p w14:paraId="4C549A02" w14:textId="77777777" w:rsidR="00F75789" w:rsidRPr="00F97055" w:rsidRDefault="00F75789" w:rsidP="00F75789">
      <w:pPr>
        <w:spacing w:line="240" w:lineRule="auto"/>
        <w:rPr>
          <w:rFonts w:ascii="Times New Roman" w:eastAsia="Times New Roman" w:hAnsi="Times New Roman" w:cs="Times New Roman"/>
          <w:sz w:val="24"/>
          <w:szCs w:val="24"/>
          <w:lang w:val="en-US"/>
        </w:rPr>
      </w:pPr>
    </w:p>
    <w:p w14:paraId="64A51125" w14:textId="77777777" w:rsidR="00F75789" w:rsidRDefault="00F75789" w:rsidP="00F75789">
      <w:pPr>
        <w:spacing w:line="240" w:lineRule="auto"/>
        <w:rPr>
          <w:rFonts w:ascii="Calibri" w:eastAsia="Times New Roman" w:hAnsi="Calibri" w:cs="Calibri"/>
          <w:color w:val="000000"/>
          <w:lang w:val="en-US"/>
        </w:rPr>
      </w:pPr>
      <w:r w:rsidRPr="00F97055">
        <w:rPr>
          <w:rFonts w:ascii="Calibri" w:eastAsia="Times New Roman" w:hAnsi="Calibri" w:cs="Calibri"/>
          <w:b/>
          <w:bCs/>
          <w:color w:val="000000"/>
          <w:lang w:val="en-US"/>
        </w:rPr>
        <w:t>Answer</w:t>
      </w:r>
      <w:r w:rsidRPr="00097179">
        <w:rPr>
          <w:rFonts w:ascii="Calibri" w:eastAsia="Times New Roman" w:hAnsi="Calibri" w:cs="Calibri"/>
          <w:b/>
          <w:bCs/>
          <w:color w:val="000000"/>
          <w:lang w:val="en-US"/>
        </w:rPr>
        <w:t>:</w:t>
      </w:r>
      <w:r>
        <w:rPr>
          <w:rFonts w:ascii="Calibri" w:eastAsia="Times New Roman" w:hAnsi="Calibri" w:cs="Calibri"/>
          <w:color w:val="000000"/>
          <w:lang w:val="en-US"/>
        </w:rPr>
        <w:t xml:space="preserve"> E </w:t>
      </w:r>
    </w:p>
    <w:p w14:paraId="2B8FB127" w14:textId="77777777" w:rsidR="00F75789" w:rsidRDefault="00F75789" w:rsidP="00F75789">
      <w:pPr>
        <w:spacing w:line="240" w:lineRule="auto"/>
        <w:rPr>
          <w:rFonts w:ascii="Calibri" w:eastAsia="Times New Roman" w:hAnsi="Calibri" w:cs="Calibri"/>
          <w:color w:val="000000"/>
          <w:lang w:val="en-US"/>
        </w:rPr>
      </w:pPr>
    </w:p>
    <w:p w14:paraId="428BF08C" w14:textId="77777777" w:rsidR="00F75789" w:rsidRPr="00F97055" w:rsidRDefault="00F75789" w:rsidP="00F75789">
      <w:pPr>
        <w:spacing w:line="240" w:lineRule="auto"/>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Explanation: </w:t>
      </w:r>
      <w:proofErr w:type="spellStart"/>
      <w:r w:rsidRPr="00097179">
        <w:rPr>
          <w:rFonts w:ascii="Calibri" w:eastAsia="Times New Roman" w:hAnsi="Calibri" w:cs="Calibri"/>
          <w:color w:val="000000"/>
          <w:lang w:val="en-US"/>
        </w:rPr>
        <w:t>iCa</w:t>
      </w:r>
      <w:proofErr w:type="spellEnd"/>
      <w:r w:rsidRPr="00097179">
        <w:rPr>
          <w:rFonts w:ascii="Calibri" w:eastAsia="Times New Roman" w:hAnsi="Calibri" w:cs="Calibri"/>
          <w:color w:val="000000"/>
          <w:lang w:val="en-US"/>
        </w:rPr>
        <w:t xml:space="preserve"> decreased with increasing albumin concentration, it was not influenced by sex, and it was lower in chelonians with disorders of the reproductive tract than in those with disorders of the endocrine/hemopoietic and urinary systems. Total calcium and bound calcium concentrations increased with increasing albumin concentration; they were higher in females and in chelonians with disorders of the reproductive tract. </w:t>
      </w:r>
    </w:p>
    <w:p w14:paraId="0D97FA5D" w14:textId="77777777" w:rsidR="00F75789" w:rsidRPr="00F97055" w:rsidRDefault="00F75789" w:rsidP="00F75789">
      <w:pPr>
        <w:spacing w:line="240" w:lineRule="auto"/>
        <w:rPr>
          <w:rFonts w:ascii="Times New Roman" w:eastAsia="Times New Roman" w:hAnsi="Times New Roman" w:cs="Times New Roman"/>
          <w:sz w:val="24"/>
          <w:szCs w:val="24"/>
          <w:lang w:val="en-US"/>
        </w:rPr>
      </w:pPr>
    </w:p>
    <w:p w14:paraId="1A6C6A8C" w14:textId="77777777" w:rsidR="00F75789" w:rsidRPr="00F97055" w:rsidRDefault="00F75789" w:rsidP="00F75789">
      <w:pPr>
        <w:spacing w:line="240" w:lineRule="auto"/>
        <w:rPr>
          <w:rFonts w:ascii="Times New Roman" w:eastAsia="Times New Roman" w:hAnsi="Times New Roman" w:cs="Times New Roman"/>
          <w:sz w:val="24"/>
          <w:szCs w:val="24"/>
          <w:lang w:val="en-US"/>
        </w:rPr>
      </w:pPr>
      <w:r w:rsidRPr="00F97055">
        <w:rPr>
          <w:rFonts w:ascii="Calibri" w:eastAsia="Times New Roman" w:hAnsi="Calibri" w:cs="Calibri"/>
          <w:color w:val="000000"/>
          <w:lang w:val="en-US"/>
        </w:rPr>
        <w:t>Source: </w:t>
      </w:r>
    </w:p>
    <w:p w14:paraId="4C404F81" w14:textId="77777777" w:rsidR="00F75789" w:rsidRDefault="00F75789" w:rsidP="00F75789">
      <w:pPr>
        <w:spacing w:line="240" w:lineRule="auto"/>
        <w:rPr>
          <w:rFonts w:ascii="Calibri" w:eastAsia="Times New Roman" w:hAnsi="Calibri" w:cs="Calibri"/>
          <w:color w:val="000000"/>
          <w:lang w:val="en-US"/>
        </w:rPr>
      </w:pPr>
      <w:r w:rsidRPr="00F97055">
        <w:rPr>
          <w:rFonts w:ascii="Calibri" w:eastAsia="Times New Roman" w:hAnsi="Calibri" w:cs="Calibri"/>
          <w:color w:val="000000"/>
          <w:lang w:val="en-US"/>
        </w:rPr>
        <w:t>Journal of the American Veterinary Medical Association, 260(S2): S101-S110, 2022. Relationship, difference, and diagnostic discordance between blood ionized and total calcium concentrations in client-owned chelonians</w:t>
      </w:r>
    </w:p>
    <w:p w14:paraId="5A36EF1D" w14:textId="77777777" w:rsidR="00F75789" w:rsidRDefault="00F75789" w:rsidP="00F75789">
      <w:pPr>
        <w:spacing w:line="240" w:lineRule="auto"/>
        <w:rPr>
          <w:rFonts w:ascii="Calibri" w:eastAsia="Times New Roman" w:hAnsi="Calibri" w:cs="Calibri"/>
          <w:color w:val="000000"/>
          <w:lang w:val="en-US"/>
        </w:rPr>
      </w:pPr>
    </w:p>
    <w:p w14:paraId="088010EB" w14:textId="77777777" w:rsidR="00F75789" w:rsidRPr="00E8372E" w:rsidRDefault="00F75789" w:rsidP="00F75789">
      <w:pPr>
        <w:rPr>
          <w:rFonts w:ascii="Calibri" w:eastAsia="Calibri" w:hAnsi="Calibri" w:cs="Calibri"/>
        </w:rPr>
      </w:pPr>
      <w:r w:rsidRPr="00E8372E">
        <w:rPr>
          <w:rFonts w:ascii="Calibri" w:eastAsia="Calibri" w:hAnsi="Calibri" w:cs="Calibri"/>
        </w:rPr>
        <w:t>Journal of Herpetological Medicine and Surgery, 34(2): 145-149, 2024</w:t>
      </w:r>
    </w:p>
    <w:p w14:paraId="3415B1A2" w14:textId="77777777" w:rsidR="00F75789" w:rsidRPr="00E8372E" w:rsidRDefault="00F75789" w:rsidP="00F75789">
      <w:pPr>
        <w:rPr>
          <w:rFonts w:ascii="Calibri" w:eastAsia="Calibri" w:hAnsi="Calibri" w:cs="Calibri"/>
          <w:b/>
          <w:bCs/>
        </w:rPr>
      </w:pPr>
      <w:r w:rsidRPr="00E8372E">
        <w:rPr>
          <w:rFonts w:ascii="Calibri" w:eastAsia="Calibri" w:hAnsi="Calibri" w:cs="Calibri"/>
          <w:b/>
          <w:bCs/>
        </w:rPr>
        <w:t>PREVALENCE OF UROLITHIASIS IN CLIENT-OWNED CHELONIANS AND ITS ASSOCIATION WITH SELECTED HOUSING AND DIETARY PARAMETERS IN AFRICAN SPURRED TORTOISES (</w:t>
      </w:r>
      <w:r w:rsidRPr="00E8372E">
        <w:rPr>
          <w:rFonts w:ascii="Calibri" w:eastAsia="Calibri" w:hAnsi="Calibri" w:cs="Calibri"/>
          <w:b/>
          <w:bCs/>
          <w:i/>
          <w:iCs/>
        </w:rPr>
        <w:t>CENTROCHELYS SULCATA</w:t>
      </w:r>
      <w:r w:rsidRPr="00E8372E">
        <w:rPr>
          <w:rFonts w:ascii="Calibri" w:eastAsia="Calibri" w:hAnsi="Calibri" w:cs="Calibri"/>
          <w:b/>
          <w:bCs/>
        </w:rPr>
        <w:t>)</w:t>
      </w:r>
    </w:p>
    <w:p w14:paraId="3F4C5869" w14:textId="77777777" w:rsidR="00F75789" w:rsidRDefault="00F75789" w:rsidP="00F75789">
      <w:pPr>
        <w:rPr>
          <w:rFonts w:ascii="Calibri" w:eastAsia="Calibri" w:hAnsi="Calibri" w:cs="Calibri"/>
        </w:rPr>
      </w:pPr>
      <w:proofErr w:type="spellStart"/>
      <w:r w:rsidRPr="00E8372E">
        <w:rPr>
          <w:rFonts w:ascii="Calibri" w:eastAsia="Times New Roman" w:hAnsi="Calibri" w:cs="Calibri"/>
          <w:color w:val="000000"/>
          <w:lang w:val="en-US"/>
        </w:rPr>
        <w:t>Violaine</w:t>
      </w:r>
      <w:proofErr w:type="spellEnd"/>
      <w:r w:rsidRPr="00E8372E">
        <w:rPr>
          <w:rFonts w:ascii="Calibri" w:eastAsia="Times New Roman" w:hAnsi="Calibri" w:cs="Calibri"/>
          <w:color w:val="000000"/>
          <w:lang w:val="en-US"/>
        </w:rPr>
        <w:t xml:space="preserve"> Colon, Nicola DiGirolamo</w:t>
      </w:r>
    </w:p>
    <w:p w14:paraId="6EE895B3" w14:textId="77777777" w:rsidR="00F75789" w:rsidRDefault="00F75789" w:rsidP="00F75789">
      <w:pPr>
        <w:rPr>
          <w:rFonts w:ascii="Calibri" w:eastAsia="Calibri" w:hAnsi="Calibri" w:cs="Calibri"/>
        </w:rPr>
      </w:pPr>
      <w:r>
        <w:fldChar w:fldCharType="begin"/>
      </w:r>
      <w:r>
        <w:instrText xml:space="preserve"> INCLUDEPICTURE "https://animals.sandiegozoo.org/sites/default/files/2016-11/animals_hero_african_spurred_tortoise.jpg" \* MERGEFORMATINET </w:instrText>
      </w:r>
      <w:r>
        <w:fldChar w:fldCharType="separate"/>
      </w:r>
      <w:r>
        <w:rPr>
          <w:noProof/>
        </w:rPr>
        <w:drawing>
          <wp:inline distT="0" distB="0" distL="0" distR="0" wp14:anchorId="7713D03A" wp14:editId="4E283249">
            <wp:extent cx="1616149" cy="909233"/>
            <wp:effectExtent l="0" t="0" r="0" b="5715"/>
            <wp:docPr id="1923187300" name="Picture 1" descr="African Spurred Tortoise | San Diego Zoo Animals &amp;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Spurred Tortoise | San Diego Zoo Animals &amp; Plan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0218" cy="934026"/>
                    </a:xfrm>
                    <a:prstGeom prst="rect">
                      <a:avLst/>
                    </a:prstGeom>
                    <a:noFill/>
                    <a:ln>
                      <a:noFill/>
                    </a:ln>
                  </pic:spPr>
                </pic:pic>
              </a:graphicData>
            </a:graphic>
          </wp:inline>
        </w:drawing>
      </w:r>
      <w:r>
        <w:fldChar w:fldCharType="end"/>
      </w:r>
    </w:p>
    <w:p w14:paraId="6BC3E0E5" w14:textId="77777777" w:rsidR="00F75789" w:rsidRPr="00F97055" w:rsidRDefault="00F75789" w:rsidP="00F75789">
      <w:pPr>
        <w:spacing w:line="240" w:lineRule="auto"/>
        <w:rPr>
          <w:rFonts w:ascii="Times New Roman" w:eastAsia="Times New Roman" w:hAnsi="Times New Roman" w:cs="Times New Roman"/>
          <w:sz w:val="24"/>
          <w:szCs w:val="24"/>
          <w:lang w:val="en-US"/>
        </w:rPr>
      </w:pPr>
    </w:p>
    <w:p w14:paraId="5497AE8C" w14:textId="77777777" w:rsidR="00F75789" w:rsidRPr="00F97055" w:rsidRDefault="00F75789" w:rsidP="00F75789">
      <w:pPr>
        <w:spacing w:line="240" w:lineRule="auto"/>
        <w:rPr>
          <w:rFonts w:ascii="Times New Roman" w:eastAsia="Times New Roman" w:hAnsi="Times New Roman" w:cs="Times New Roman"/>
          <w:b/>
          <w:bCs/>
          <w:sz w:val="24"/>
          <w:szCs w:val="24"/>
          <w:lang w:val="en-US"/>
        </w:rPr>
      </w:pPr>
      <w:r w:rsidRPr="00F97055">
        <w:rPr>
          <w:rFonts w:ascii="Calibri" w:eastAsia="Times New Roman" w:hAnsi="Calibri" w:cs="Calibri"/>
          <w:b/>
          <w:bCs/>
          <w:color w:val="000000"/>
          <w:lang w:val="en-US"/>
        </w:rPr>
        <w:t>Question:</w:t>
      </w:r>
    </w:p>
    <w:p w14:paraId="5A10065A" w14:textId="77777777" w:rsidR="00F75789" w:rsidRPr="00F97055" w:rsidRDefault="00F75789" w:rsidP="00F75789">
      <w:pPr>
        <w:spacing w:line="240" w:lineRule="auto"/>
        <w:rPr>
          <w:rFonts w:ascii="Times New Roman" w:eastAsia="Times New Roman" w:hAnsi="Times New Roman" w:cs="Times New Roman"/>
          <w:sz w:val="24"/>
          <w:szCs w:val="24"/>
          <w:lang w:val="en-US"/>
        </w:rPr>
      </w:pPr>
    </w:p>
    <w:p w14:paraId="33D08E33" w14:textId="77777777" w:rsidR="00F75789" w:rsidRDefault="00F75789" w:rsidP="00F75789">
      <w:pPr>
        <w:spacing w:line="240" w:lineRule="auto"/>
        <w:rPr>
          <w:rFonts w:ascii="Calibri" w:eastAsia="Times New Roman" w:hAnsi="Calibri" w:cs="Calibri"/>
          <w:color w:val="000000"/>
          <w:lang w:val="en-US"/>
        </w:rPr>
      </w:pPr>
      <w:r w:rsidRPr="00F97055">
        <w:rPr>
          <w:rFonts w:ascii="Calibri" w:eastAsia="Times New Roman" w:hAnsi="Calibri" w:cs="Calibri"/>
          <w:color w:val="000000"/>
          <w:lang w:val="en-US"/>
        </w:rPr>
        <w:t xml:space="preserve">Which of the following statements is most correct regarding </w:t>
      </w:r>
      <w:r>
        <w:rPr>
          <w:rFonts w:ascii="Calibri" w:eastAsia="Times New Roman" w:hAnsi="Calibri" w:cs="Calibri"/>
          <w:color w:val="000000"/>
          <w:lang w:val="en-US"/>
        </w:rPr>
        <w:t>risk factors for the development of urolithiasis in African spurred tortoises?</w:t>
      </w:r>
    </w:p>
    <w:p w14:paraId="62EC1CC2" w14:textId="77777777" w:rsidR="00F75789" w:rsidRDefault="00F75789" w:rsidP="00F75789">
      <w:pPr>
        <w:spacing w:line="240" w:lineRule="auto"/>
        <w:rPr>
          <w:rFonts w:ascii="Calibri" w:eastAsia="Times New Roman" w:hAnsi="Calibri" w:cs="Calibri"/>
          <w:color w:val="000000"/>
          <w:lang w:val="en-US"/>
        </w:rPr>
      </w:pPr>
    </w:p>
    <w:p w14:paraId="17181D57" w14:textId="77777777" w:rsidR="00F75789" w:rsidRDefault="00F75789" w:rsidP="00F75789">
      <w:pPr>
        <w:pStyle w:val="ListParagraph"/>
        <w:numPr>
          <w:ilvl w:val="0"/>
          <w:numId w:val="6"/>
        </w:numPr>
        <w:spacing w:after="0" w:line="240" w:lineRule="auto"/>
        <w:rPr>
          <w:rFonts w:ascii="Calibri" w:eastAsia="Calibri" w:hAnsi="Calibri" w:cs="Calibri"/>
        </w:rPr>
      </w:pPr>
      <w:r>
        <w:rPr>
          <w:rFonts w:ascii="Calibri" w:eastAsia="Calibri" w:hAnsi="Calibri" w:cs="Calibri"/>
        </w:rPr>
        <w:t>Tortoises housed outside were at greater risk of developing urolithiasis</w:t>
      </w:r>
    </w:p>
    <w:p w14:paraId="132A4470" w14:textId="77777777" w:rsidR="00F75789" w:rsidRDefault="00F75789" w:rsidP="00F75789">
      <w:pPr>
        <w:pStyle w:val="ListParagraph"/>
        <w:numPr>
          <w:ilvl w:val="0"/>
          <w:numId w:val="6"/>
        </w:numPr>
        <w:spacing w:after="0" w:line="240" w:lineRule="auto"/>
        <w:rPr>
          <w:rFonts w:ascii="Calibri" w:eastAsia="Calibri" w:hAnsi="Calibri" w:cs="Calibri"/>
        </w:rPr>
      </w:pPr>
      <w:r>
        <w:rPr>
          <w:rFonts w:ascii="Calibri" w:eastAsia="Calibri" w:hAnsi="Calibri" w:cs="Calibri"/>
        </w:rPr>
        <w:t>Tortoises without natural sunlight or UVB exposure were at greater risk of developing urolithiasis</w:t>
      </w:r>
    </w:p>
    <w:p w14:paraId="57902825" w14:textId="77777777" w:rsidR="00F75789" w:rsidRDefault="00F75789" w:rsidP="00F75789">
      <w:pPr>
        <w:pStyle w:val="ListParagraph"/>
        <w:numPr>
          <w:ilvl w:val="0"/>
          <w:numId w:val="6"/>
        </w:numPr>
        <w:spacing w:after="0" w:line="240" w:lineRule="auto"/>
        <w:rPr>
          <w:rFonts w:ascii="Calibri" w:eastAsia="Calibri" w:hAnsi="Calibri" w:cs="Calibri"/>
        </w:rPr>
      </w:pPr>
      <w:r>
        <w:rPr>
          <w:rFonts w:ascii="Calibri" w:eastAsia="Calibri" w:hAnsi="Calibri" w:cs="Calibri"/>
        </w:rPr>
        <w:t>Tortoises fed fruit were at greater risk of developing urolithiasis</w:t>
      </w:r>
    </w:p>
    <w:p w14:paraId="5060FAC4" w14:textId="77777777" w:rsidR="00F75789" w:rsidRDefault="00F75789" w:rsidP="00F75789">
      <w:pPr>
        <w:pStyle w:val="ListParagraph"/>
        <w:numPr>
          <w:ilvl w:val="0"/>
          <w:numId w:val="6"/>
        </w:numPr>
        <w:spacing w:after="0" w:line="240" w:lineRule="auto"/>
        <w:rPr>
          <w:rFonts w:ascii="Calibri" w:eastAsia="Calibri" w:hAnsi="Calibri" w:cs="Calibri"/>
        </w:rPr>
      </w:pPr>
      <w:r>
        <w:rPr>
          <w:rFonts w:ascii="Calibri" w:eastAsia="Calibri" w:hAnsi="Calibri" w:cs="Calibri"/>
        </w:rPr>
        <w:t>Tortoises that were not soaked regularly were at greater risk of developing urolithiasis</w:t>
      </w:r>
    </w:p>
    <w:p w14:paraId="33811D8D" w14:textId="77777777" w:rsidR="00F75789" w:rsidRDefault="00F75789" w:rsidP="00F75789">
      <w:pPr>
        <w:pStyle w:val="ListParagraph"/>
        <w:numPr>
          <w:ilvl w:val="0"/>
          <w:numId w:val="6"/>
        </w:numPr>
        <w:spacing w:after="0" w:line="240" w:lineRule="auto"/>
        <w:rPr>
          <w:rFonts w:ascii="Calibri" w:eastAsia="Calibri" w:hAnsi="Calibri" w:cs="Calibri"/>
        </w:rPr>
      </w:pPr>
      <w:r>
        <w:rPr>
          <w:rFonts w:ascii="Calibri" w:eastAsia="Calibri" w:hAnsi="Calibri" w:cs="Calibri"/>
        </w:rPr>
        <w:t>Tortoises supplemented with calcium were at greater risk of developing urolithiasis</w:t>
      </w:r>
    </w:p>
    <w:p w14:paraId="7B5776B9" w14:textId="77777777" w:rsidR="00F75789" w:rsidRDefault="00F75789" w:rsidP="00F75789">
      <w:pPr>
        <w:spacing w:line="240" w:lineRule="auto"/>
        <w:rPr>
          <w:rFonts w:ascii="Calibri" w:eastAsia="Calibri" w:hAnsi="Calibri" w:cs="Calibri"/>
        </w:rPr>
      </w:pPr>
    </w:p>
    <w:p w14:paraId="65728281" w14:textId="77777777" w:rsidR="00F75789" w:rsidRDefault="00F75789" w:rsidP="00F75789">
      <w:pPr>
        <w:spacing w:line="240" w:lineRule="auto"/>
        <w:rPr>
          <w:rFonts w:ascii="Calibri" w:eastAsia="Calibri" w:hAnsi="Calibri" w:cs="Calibri"/>
        </w:rPr>
      </w:pPr>
      <w:r w:rsidRPr="00097179">
        <w:rPr>
          <w:rFonts w:ascii="Calibri" w:eastAsia="Calibri" w:hAnsi="Calibri" w:cs="Calibri"/>
          <w:b/>
          <w:bCs/>
        </w:rPr>
        <w:t>Answer:</w:t>
      </w:r>
      <w:r>
        <w:rPr>
          <w:rFonts w:ascii="Calibri" w:eastAsia="Calibri" w:hAnsi="Calibri" w:cs="Calibri"/>
        </w:rPr>
        <w:t xml:space="preserve"> C</w:t>
      </w:r>
    </w:p>
    <w:p w14:paraId="75056CE5" w14:textId="77777777" w:rsidR="00F75789" w:rsidRDefault="00F75789" w:rsidP="00F75789">
      <w:pPr>
        <w:spacing w:line="240" w:lineRule="auto"/>
        <w:rPr>
          <w:rFonts w:ascii="Calibri" w:eastAsia="Calibri" w:hAnsi="Calibri" w:cs="Calibri"/>
        </w:rPr>
      </w:pPr>
    </w:p>
    <w:p w14:paraId="6C2F8BD1" w14:textId="77777777" w:rsidR="00F75789" w:rsidRPr="00097179" w:rsidRDefault="00F75789" w:rsidP="00F75789">
      <w:pPr>
        <w:spacing w:line="240" w:lineRule="auto"/>
        <w:rPr>
          <w:rFonts w:ascii="Calibri" w:eastAsia="Calibri" w:hAnsi="Calibri" w:cs="Calibri"/>
        </w:rPr>
      </w:pPr>
      <w:r w:rsidRPr="00097179">
        <w:rPr>
          <w:rFonts w:ascii="Calibri" w:eastAsia="Calibri" w:hAnsi="Calibri" w:cs="Calibri"/>
          <w:b/>
          <w:bCs/>
        </w:rPr>
        <w:t>Explanation:</w:t>
      </w:r>
      <w:r>
        <w:rPr>
          <w:rFonts w:ascii="Calibri" w:eastAsia="Calibri" w:hAnsi="Calibri" w:cs="Calibri"/>
        </w:rPr>
        <w:t xml:space="preserve"> </w:t>
      </w:r>
      <w:r w:rsidRPr="00097179">
        <w:rPr>
          <w:rFonts w:ascii="Calibri" w:eastAsia="Calibri" w:hAnsi="Calibri" w:cs="Calibri"/>
        </w:rPr>
        <w:t xml:space="preserve">African spurred tortoises housed inside and fed fruit </w:t>
      </w:r>
      <w:r>
        <w:rPr>
          <w:rFonts w:ascii="Calibri" w:eastAsia="Calibri" w:hAnsi="Calibri" w:cs="Calibri"/>
        </w:rPr>
        <w:t xml:space="preserve">were </w:t>
      </w:r>
      <w:r w:rsidRPr="00097179">
        <w:rPr>
          <w:rFonts w:ascii="Calibri" w:eastAsia="Calibri" w:hAnsi="Calibri" w:cs="Calibri"/>
        </w:rPr>
        <w:t xml:space="preserve">at greater risk of urolithiasis. </w:t>
      </w:r>
      <w:r>
        <w:rPr>
          <w:rFonts w:ascii="Calibri" w:eastAsia="Calibri" w:hAnsi="Calibri" w:cs="Calibri"/>
        </w:rPr>
        <w:t>There was n</w:t>
      </w:r>
      <w:r w:rsidRPr="00097179">
        <w:rPr>
          <w:rFonts w:ascii="Calibri" w:eastAsia="Calibri" w:hAnsi="Calibri" w:cs="Calibri"/>
        </w:rPr>
        <w:t>o significant association between urolithiasis and dietary hay, pellets, vegetables, calcium supplementation, sun exposure, UVB exposure, soaking</w:t>
      </w:r>
    </w:p>
    <w:p w14:paraId="00000021" w14:textId="2B04468B" w:rsidR="004536C0" w:rsidRDefault="004536C0">
      <w:pPr>
        <w:rPr>
          <w:rFonts w:ascii="Times New Roman" w:eastAsia="Times New Roman" w:hAnsi="Times New Roman" w:cs="Times New Roman"/>
        </w:rPr>
      </w:pPr>
    </w:p>
    <w:p w14:paraId="1B758079" w14:textId="77777777" w:rsidR="00F75789" w:rsidRPr="00A47396" w:rsidRDefault="00F75789" w:rsidP="00F75789">
      <w:pPr>
        <w:spacing w:line="240" w:lineRule="auto"/>
        <w:rPr>
          <w:rFonts w:ascii="Calibri" w:hAnsi="Calibri" w:cs="Calibri"/>
          <w:b/>
          <w:bCs/>
        </w:rPr>
      </w:pPr>
      <w:r w:rsidRPr="00A47396">
        <w:rPr>
          <w:rFonts w:ascii="Calibri" w:hAnsi="Calibri" w:cs="Calibri"/>
          <w:b/>
          <w:bCs/>
        </w:rPr>
        <w:t>Shell lesion prevalence and bacteriome associations in threatened western pond turtles (</w:t>
      </w:r>
      <w:proofErr w:type="spellStart"/>
      <w:r w:rsidRPr="00A47396">
        <w:rPr>
          <w:rFonts w:ascii="Calibri" w:hAnsi="Calibri" w:cs="Calibri"/>
          <w:b/>
          <w:bCs/>
          <w:i/>
          <w:iCs/>
        </w:rPr>
        <w:t>Actinemys</w:t>
      </w:r>
      <w:proofErr w:type="spellEnd"/>
      <w:r w:rsidRPr="00A47396">
        <w:rPr>
          <w:rFonts w:ascii="Calibri" w:hAnsi="Calibri" w:cs="Calibri"/>
          <w:b/>
          <w:bCs/>
          <w:i/>
          <w:iCs/>
        </w:rPr>
        <w:t xml:space="preserve"> marmorata </w:t>
      </w:r>
      <w:r w:rsidRPr="00A47396">
        <w:rPr>
          <w:rFonts w:ascii="Calibri" w:hAnsi="Calibri" w:cs="Calibri"/>
          <w:b/>
          <w:bCs/>
        </w:rPr>
        <w:t xml:space="preserve">and </w:t>
      </w:r>
      <w:proofErr w:type="spellStart"/>
      <w:r w:rsidRPr="00A47396">
        <w:rPr>
          <w:rFonts w:ascii="Calibri" w:hAnsi="Calibri" w:cs="Calibri"/>
          <w:b/>
          <w:bCs/>
          <w:i/>
          <w:iCs/>
        </w:rPr>
        <w:t>Actinemys</w:t>
      </w:r>
      <w:proofErr w:type="spellEnd"/>
      <w:r w:rsidRPr="00A47396">
        <w:rPr>
          <w:rFonts w:ascii="Calibri" w:hAnsi="Calibri" w:cs="Calibri"/>
          <w:b/>
          <w:bCs/>
          <w:i/>
          <w:iCs/>
        </w:rPr>
        <w:t xml:space="preserve"> pallida</w:t>
      </w:r>
      <w:r w:rsidRPr="00A47396">
        <w:rPr>
          <w:rFonts w:ascii="Calibri" w:hAnsi="Calibri" w:cs="Calibri"/>
          <w:b/>
          <w:bCs/>
        </w:rPr>
        <w:t>) in California, USA</w:t>
      </w:r>
    </w:p>
    <w:p w14:paraId="05CE5D14" w14:textId="77777777" w:rsidR="00F75789" w:rsidRPr="0042783B" w:rsidRDefault="00F75789" w:rsidP="00F75789">
      <w:pPr>
        <w:spacing w:line="240" w:lineRule="auto"/>
        <w:rPr>
          <w:rFonts w:ascii="Calibri" w:hAnsi="Calibri" w:cs="Calibri"/>
        </w:rPr>
      </w:pPr>
      <w:r w:rsidRPr="00A47396">
        <w:rPr>
          <w:rFonts w:ascii="Calibri" w:hAnsi="Calibri" w:cs="Calibri"/>
        </w:rPr>
        <w:lastRenderedPageBreak/>
        <w:t xml:space="preserve">Green N, Norwood A, </w:t>
      </w:r>
      <w:proofErr w:type="spellStart"/>
      <w:r w:rsidRPr="00A47396">
        <w:rPr>
          <w:rFonts w:ascii="Calibri" w:hAnsi="Calibri" w:cs="Calibri"/>
        </w:rPr>
        <w:t>Sidhe</w:t>
      </w:r>
      <w:proofErr w:type="spellEnd"/>
      <w:r w:rsidRPr="00A47396">
        <w:rPr>
          <w:rFonts w:ascii="Calibri" w:hAnsi="Calibri" w:cs="Calibri"/>
        </w:rPr>
        <w:t xml:space="preserve"> C, </w:t>
      </w:r>
      <w:proofErr w:type="spellStart"/>
      <w:r w:rsidRPr="00A47396">
        <w:rPr>
          <w:rFonts w:ascii="Calibri" w:hAnsi="Calibri" w:cs="Calibri"/>
        </w:rPr>
        <w:t>Mutlow</w:t>
      </w:r>
      <w:proofErr w:type="spellEnd"/>
      <w:r w:rsidRPr="00A47396">
        <w:rPr>
          <w:rFonts w:ascii="Calibri" w:hAnsi="Calibri" w:cs="Calibri"/>
        </w:rPr>
        <w:t xml:space="preserve"> A, </w:t>
      </w:r>
      <w:proofErr w:type="spellStart"/>
      <w:r w:rsidRPr="00A47396">
        <w:rPr>
          <w:rFonts w:ascii="Calibri" w:hAnsi="Calibri" w:cs="Calibri"/>
        </w:rPr>
        <w:t>Aymen</w:t>
      </w:r>
      <w:proofErr w:type="spellEnd"/>
      <w:r w:rsidRPr="00A47396">
        <w:rPr>
          <w:rFonts w:ascii="Calibri" w:hAnsi="Calibri" w:cs="Calibri"/>
        </w:rPr>
        <w:t xml:space="preserve"> J, Stiles R, Bushell J, Lim T, Culver E, Reeder N, Timmer M, Connelly F, Charbonneau J, McCall W, Koenig L, Stein M, Geist N, Lambert MR, Hernández-Gómez O. J </w:t>
      </w:r>
      <w:proofErr w:type="spellStart"/>
      <w:r w:rsidRPr="00A47396">
        <w:rPr>
          <w:rFonts w:ascii="Calibri" w:hAnsi="Calibri" w:cs="Calibri"/>
        </w:rPr>
        <w:t>Wildl</w:t>
      </w:r>
      <w:proofErr w:type="spellEnd"/>
      <w:r w:rsidRPr="00A47396">
        <w:rPr>
          <w:rFonts w:ascii="Calibri" w:hAnsi="Calibri" w:cs="Calibri"/>
        </w:rPr>
        <w:t xml:space="preserve"> Dis. 2025;61(3):574-</w:t>
      </w:r>
      <w:proofErr w:type="gramStart"/>
      <w:r w:rsidRPr="00A47396">
        <w:rPr>
          <w:rFonts w:ascii="Calibri" w:hAnsi="Calibri" w:cs="Calibri"/>
        </w:rPr>
        <w:t>586.—</w:t>
      </w:r>
      <w:proofErr w:type="gramEnd"/>
      <w:r w:rsidRPr="00A47396">
        <w:rPr>
          <w:rFonts w:ascii="Calibri" w:hAnsi="Calibri" w:cs="Calibri"/>
        </w:rPr>
        <w:t>Reviewed by ALD</w:t>
      </w:r>
    </w:p>
    <w:p w14:paraId="58D587CE" w14:textId="77777777" w:rsidR="00F75789" w:rsidRDefault="00F75789" w:rsidP="00F75789">
      <w:pPr>
        <w:autoSpaceDE w:val="0"/>
        <w:autoSpaceDN w:val="0"/>
        <w:adjustRightInd w:val="0"/>
        <w:spacing w:line="240" w:lineRule="auto"/>
        <w:rPr>
          <w:rFonts w:ascii="Calibri" w:hAnsi="Calibri" w:cs="Calibri"/>
        </w:rPr>
      </w:pPr>
    </w:p>
    <w:p w14:paraId="12C7C4E0" w14:textId="77777777" w:rsidR="00F75789" w:rsidRPr="001A7F3D" w:rsidRDefault="00F75789" w:rsidP="00F75789">
      <w:pPr>
        <w:autoSpaceDE w:val="0"/>
        <w:autoSpaceDN w:val="0"/>
        <w:adjustRightInd w:val="0"/>
        <w:spacing w:line="240" w:lineRule="auto"/>
        <w:rPr>
          <w:rFonts w:ascii="Calibri" w:hAnsi="Calibri" w:cs="Calibri"/>
        </w:rPr>
      </w:pPr>
      <w:r w:rsidRPr="001A7F3D">
        <w:rPr>
          <w:rFonts w:ascii="Calibri" w:hAnsi="Calibri" w:cs="Calibri"/>
        </w:rPr>
        <w:t>In two species of Western pond turtles (</w:t>
      </w:r>
      <w:proofErr w:type="spellStart"/>
      <w:r w:rsidRPr="001A7F3D">
        <w:rPr>
          <w:rFonts w:ascii="Calibri" w:hAnsi="Calibri" w:cs="Calibri"/>
          <w:i/>
          <w:iCs/>
        </w:rPr>
        <w:t>Actinemys</w:t>
      </w:r>
      <w:proofErr w:type="spellEnd"/>
      <w:r w:rsidRPr="001A7F3D">
        <w:rPr>
          <w:rFonts w:ascii="Calibri" w:hAnsi="Calibri" w:cs="Calibri"/>
          <w:i/>
          <w:iCs/>
        </w:rPr>
        <w:t xml:space="preserve"> marmorata </w:t>
      </w:r>
      <w:r w:rsidRPr="001A7F3D">
        <w:rPr>
          <w:rFonts w:ascii="Calibri" w:hAnsi="Calibri" w:cs="Calibri"/>
        </w:rPr>
        <w:t xml:space="preserve">and </w:t>
      </w:r>
      <w:proofErr w:type="spellStart"/>
      <w:r w:rsidRPr="001A7F3D">
        <w:rPr>
          <w:rFonts w:ascii="Calibri" w:hAnsi="Calibri" w:cs="Calibri"/>
          <w:i/>
          <w:iCs/>
        </w:rPr>
        <w:t>Actinemys</w:t>
      </w:r>
      <w:proofErr w:type="spellEnd"/>
      <w:r w:rsidRPr="001A7F3D">
        <w:rPr>
          <w:rFonts w:ascii="Calibri" w:hAnsi="Calibri" w:cs="Calibri"/>
          <w:i/>
          <w:iCs/>
        </w:rPr>
        <w:t xml:space="preserve"> pallida</w:t>
      </w:r>
      <w:r w:rsidRPr="001A7F3D">
        <w:rPr>
          <w:rFonts w:ascii="Calibri" w:hAnsi="Calibri" w:cs="Calibri"/>
        </w:rPr>
        <w:t>) in California, USA, what was noted in terms of their bacteriomes of their shells?</w:t>
      </w:r>
    </w:p>
    <w:p w14:paraId="14D89374" w14:textId="77777777" w:rsidR="00F75789" w:rsidRDefault="00F75789" w:rsidP="00F75789">
      <w:pPr>
        <w:pStyle w:val="ListParagraph"/>
        <w:numPr>
          <w:ilvl w:val="0"/>
          <w:numId w:val="7"/>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 xml:space="preserve">Swabs had significantly higher bacterial richness than </w:t>
      </w:r>
      <w:proofErr w:type="gramStart"/>
      <w:r>
        <w:rPr>
          <w:rFonts w:ascii="Calibri" w:hAnsi="Calibri" w:cs="Calibri"/>
          <w:kern w:val="0"/>
          <w:sz w:val="22"/>
          <w:szCs w:val="22"/>
        </w:rPr>
        <w:t>scrapes</w:t>
      </w:r>
      <w:proofErr w:type="gramEnd"/>
      <w:r>
        <w:rPr>
          <w:rFonts w:ascii="Calibri" w:hAnsi="Calibri" w:cs="Calibri"/>
          <w:kern w:val="0"/>
          <w:sz w:val="22"/>
          <w:szCs w:val="22"/>
        </w:rPr>
        <w:t xml:space="preserve"> but bacterial diversity was not different between sample types (correct)</w:t>
      </w:r>
    </w:p>
    <w:p w14:paraId="539D86F5" w14:textId="77777777" w:rsidR="00F75789" w:rsidRDefault="00F75789" w:rsidP="00F75789">
      <w:pPr>
        <w:pStyle w:val="ListParagraph"/>
        <w:numPr>
          <w:ilvl w:val="0"/>
          <w:numId w:val="7"/>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Scrapes had significantly higher bacterial diversity and significantly higher bacterial richness in comparison to swabs of shells</w:t>
      </w:r>
    </w:p>
    <w:p w14:paraId="5D4F3939" w14:textId="77777777" w:rsidR="00F75789" w:rsidRDefault="00F75789" w:rsidP="00F75789">
      <w:pPr>
        <w:pStyle w:val="ListParagraph"/>
        <w:numPr>
          <w:ilvl w:val="0"/>
          <w:numId w:val="7"/>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Scrapes had significantly lower bacterial diversity but significantly higher bacterial richness in comparison to swabs of shells</w:t>
      </w:r>
    </w:p>
    <w:p w14:paraId="43531FD7" w14:textId="77777777" w:rsidR="00F75789" w:rsidRDefault="00F75789" w:rsidP="00F75789">
      <w:pPr>
        <w:pStyle w:val="ListParagraph"/>
        <w:numPr>
          <w:ilvl w:val="0"/>
          <w:numId w:val="7"/>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There was no significant difference in bacterial diversity and bacterial richness between scrapes and swabs of shells</w:t>
      </w:r>
    </w:p>
    <w:p w14:paraId="66F956AA" w14:textId="77777777" w:rsidR="00F75789" w:rsidRPr="003F1188" w:rsidRDefault="00F75789" w:rsidP="00F75789">
      <w:pPr>
        <w:pStyle w:val="ListParagraph"/>
        <w:numPr>
          <w:ilvl w:val="0"/>
          <w:numId w:val="7"/>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Swabs had significantly lower bacterial diversity and significantly higher bacterial richness in comparison to scrapes of shells</w:t>
      </w:r>
    </w:p>
    <w:p w14:paraId="067EB69E" w14:textId="77777777" w:rsidR="00F75789" w:rsidRDefault="00F75789" w:rsidP="00F75789"/>
    <w:p w14:paraId="46306C5E" w14:textId="77777777" w:rsidR="00F75789" w:rsidRPr="0042783B" w:rsidRDefault="00F75789" w:rsidP="00F75789">
      <w:pPr>
        <w:spacing w:line="240" w:lineRule="auto"/>
        <w:rPr>
          <w:rFonts w:ascii="Calibri" w:hAnsi="Calibri" w:cs="Calibri"/>
        </w:rPr>
      </w:pPr>
      <w:r w:rsidRPr="0042783B">
        <w:rPr>
          <w:rFonts w:ascii="Calibri" w:hAnsi="Calibri" w:cs="Calibri"/>
        </w:rPr>
        <w:t xml:space="preserve">An increase in which bacterial family has been noted in western pond turtles when they have lower land coverage and why does this occur? </w:t>
      </w:r>
    </w:p>
    <w:p w14:paraId="4ABA28FD" w14:textId="77777777" w:rsidR="00F75789" w:rsidRDefault="00F75789" w:rsidP="00F75789">
      <w:pPr>
        <w:pStyle w:val="ListParagraph"/>
        <w:numPr>
          <w:ilvl w:val="0"/>
          <w:numId w:val="8"/>
        </w:numPr>
        <w:spacing w:after="0" w:line="240" w:lineRule="auto"/>
        <w:rPr>
          <w:rFonts w:ascii="Calibri" w:hAnsi="Calibri" w:cs="Calibri"/>
          <w:sz w:val="22"/>
          <w:szCs w:val="22"/>
        </w:rPr>
      </w:pPr>
      <w:r w:rsidRPr="0042783B">
        <w:rPr>
          <w:rFonts w:ascii="Calibri" w:hAnsi="Calibri" w:cs="Calibri"/>
          <w:sz w:val="22"/>
          <w:szCs w:val="22"/>
        </w:rPr>
        <w:t>Increase in Firmicutes, and decrease in Bacteroidetes, seen with lower land coverage. This is typically seen with diets that shift to be more herbivorous</w:t>
      </w:r>
    </w:p>
    <w:p w14:paraId="62C35FC1" w14:textId="77777777" w:rsidR="00F75789" w:rsidRDefault="00F75789" w:rsidP="00F75789">
      <w:pPr>
        <w:spacing w:line="240" w:lineRule="auto"/>
        <w:rPr>
          <w:rFonts w:ascii="Calibri" w:hAnsi="Calibri" w:cs="Calibri"/>
        </w:rPr>
      </w:pPr>
    </w:p>
    <w:p w14:paraId="7C3D53E3" w14:textId="77777777" w:rsidR="00F75789" w:rsidRPr="008D300A" w:rsidRDefault="00F75789" w:rsidP="00F75789">
      <w:pPr>
        <w:autoSpaceDE w:val="0"/>
        <w:autoSpaceDN w:val="0"/>
        <w:adjustRightInd w:val="0"/>
        <w:spacing w:line="240" w:lineRule="auto"/>
        <w:rPr>
          <w:rFonts w:ascii="Calibri" w:hAnsi="Calibri" w:cs="Calibri"/>
          <w:b/>
          <w:bCs/>
        </w:rPr>
      </w:pPr>
      <w:r w:rsidRPr="008D300A">
        <w:rPr>
          <w:rFonts w:ascii="Calibri" w:hAnsi="Calibri" w:cs="Calibri"/>
          <w:b/>
          <w:bCs/>
        </w:rPr>
        <w:t xml:space="preserve">Evaluating the efficacy of disinfectant methods against </w:t>
      </w:r>
      <w:proofErr w:type="spellStart"/>
      <w:r w:rsidRPr="008D300A">
        <w:rPr>
          <w:rFonts w:ascii="Calibri" w:hAnsi="Calibri" w:cs="Calibri"/>
          <w:b/>
          <w:bCs/>
          <w:i/>
          <w:iCs/>
        </w:rPr>
        <w:t>Emydomyces</w:t>
      </w:r>
      <w:proofErr w:type="spellEnd"/>
      <w:r w:rsidRPr="008D300A">
        <w:rPr>
          <w:rFonts w:ascii="Calibri" w:hAnsi="Calibri" w:cs="Calibri"/>
          <w:b/>
          <w:bCs/>
          <w:i/>
          <w:iCs/>
        </w:rPr>
        <w:t xml:space="preserve"> </w:t>
      </w:r>
      <w:proofErr w:type="spellStart"/>
      <w:r w:rsidRPr="008D300A">
        <w:rPr>
          <w:rFonts w:ascii="Calibri" w:hAnsi="Calibri" w:cs="Calibri"/>
          <w:b/>
          <w:bCs/>
          <w:i/>
          <w:iCs/>
        </w:rPr>
        <w:t>testavorans</w:t>
      </w:r>
      <w:proofErr w:type="spellEnd"/>
      <w:r w:rsidRPr="008D300A">
        <w:rPr>
          <w:rFonts w:ascii="Calibri" w:hAnsi="Calibri" w:cs="Calibri"/>
          <w:b/>
          <w:bCs/>
        </w:rPr>
        <w:t>, a fungus associated with shell disease in freshwater aquatic turtles</w:t>
      </w:r>
    </w:p>
    <w:p w14:paraId="57C8376E" w14:textId="77777777" w:rsidR="00F75789" w:rsidRPr="00A3279E" w:rsidRDefault="00F75789" w:rsidP="00F75789">
      <w:pPr>
        <w:autoSpaceDE w:val="0"/>
        <w:autoSpaceDN w:val="0"/>
        <w:adjustRightInd w:val="0"/>
        <w:spacing w:line="240" w:lineRule="auto"/>
        <w:rPr>
          <w:rFonts w:ascii="Calibri" w:hAnsi="Calibri" w:cs="Calibri"/>
        </w:rPr>
      </w:pPr>
      <w:proofErr w:type="spellStart"/>
      <w:r>
        <w:rPr>
          <w:rFonts w:ascii="Calibri" w:hAnsi="Calibri" w:cs="Calibri"/>
        </w:rPr>
        <w:t>Liszka</w:t>
      </w:r>
      <w:proofErr w:type="spellEnd"/>
      <w:r>
        <w:rPr>
          <w:rFonts w:ascii="Calibri" w:hAnsi="Calibri" w:cs="Calibri"/>
        </w:rPr>
        <w:t xml:space="preserve"> NC, </w:t>
      </w:r>
      <w:proofErr w:type="spellStart"/>
      <w:r>
        <w:rPr>
          <w:rFonts w:ascii="Calibri" w:hAnsi="Calibri" w:cs="Calibri"/>
        </w:rPr>
        <w:t>Adamovicz</w:t>
      </w:r>
      <w:proofErr w:type="spellEnd"/>
      <w:r>
        <w:rPr>
          <w:rFonts w:ascii="Calibri" w:hAnsi="Calibri" w:cs="Calibri"/>
        </w:rPr>
        <w:t xml:space="preserve"> L, Moorhead KA, </w:t>
      </w:r>
      <w:proofErr w:type="spellStart"/>
      <w:r>
        <w:rPr>
          <w:rFonts w:ascii="Calibri" w:hAnsi="Calibri" w:cs="Calibri"/>
        </w:rPr>
        <w:t>Daleo</w:t>
      </w:r>
      <w:proofErr w:type="spellEnd"/>
      <w:r>
        <w:rPr>
          <w:rFonts w:ascii="Calibri" w:hAnsi="Calibri" w:cs="Calibri"/>
        </w:rPr>
        <w:t xml:space="preserve"> MJ, </w:t>
      </w:r>
      <w:proofErr w:type="spellStart"/>
      <w:r>
        <w:rPr>
          <w:rFonts w:ascii="Calibri" w:hAnsi="Calibri" w:cs="Calibri"/>
        </w:rPr>
        <w:t>Grochowski</w:t>
      </w:r>
      <w:proofErr w:type="spellEnd"/>
      <w:r>
        <w:rPr>
          <w:rFonts w:ascii="Calibri" w:hAnsi="Calibri" w:cs="Calibri"/>
        </w:rPr>
        <w:t xml:space="preserve"> K, Allender MC. J </w:t>
      </w:r>
      <w:proofErr w:type="spellStart"/>
      <w:r>
        <w:rPr>
          <w:rFonts w:ascii="Calibri" w:hAnsi="Calibri" w:cs="Calibri"/>
        </w:rPr>
        <w:t>Wildl</w:t>
      </w:r>
      <w:proofErr w:type="spellEnd"/>
      <w:r>
        <w:rPr>
          <w:rFonts w:ascii="Calibri" w:hAnsi="Calibri" w:cs="Calibri"/>
        </w:rPr>
        <w:t xml:space="preserve"> Dis. 2024;61(1):234-</w:t>
      </w:r>
      <w:proofErr w:type="gramStart"/>
      <w:r>
        <w:rPr>
          <w:rFonts w:ascii="Calibri" w:hAnsi="Calibri" w:cs="Calibri"/>
        </w:rPr>
        <w:t>240.—</w:t>
      </w:r>
      <w:proofErr w:type="gramEnd"/>
      <w:r>
        <w:rPr>
          <w:rFonts w:ascii="Calibri" w:hAnsi="Calibri" w:cs="Calibri"/>
        </w:rPr>
        <w:t>Reviewed by ALD</w:t>
      </w:r>
    </w:p>
    <w:p w14:paraId="37035C7D" w14:textId="77777777" w:rsidR="00F75789" w:rsidRDefault="00F75789" w:rsidP="00F75789">
      <w:pPr>
        <w:autoSpaceDE w:val="0"/>
        <w:autoSpaceDN w:val="0"/>
        <w:adjustRightInd w:val="0"/>
        <w:spacing w:line="240" w:lineRule="auto"/>
        <w:rPr>
          <w:rFonts w:ascii="Calibri" w:hAnsi="Calibri" w:cs="Calibri"/>
        </w:rPr>
      </w:pPr>
    </w:p>
    <w:p w14:paraId="170005F9" w14:textId="77777777" w:rsidR="00F75789" w:rsidRDefault="00F75789" w:rsidP="00F75789">
      <w:pPr>
        <w:autoSpaceDE w:val="0"/>
        <w:autoSpaceDN w:val="0"/>
        <w:adjustRightInd w:val="0"/>
        <w:spacing w:line="240" w:lineRule="auto"/>
        <w:rPr>
          <w:rFonts w:ascii="Calibri" w:hAnsi="Calibri" w:cs="Calibri"/>
        </w:rPr>
      </w:pPr>
      <w:r>
        <w:rPr>
          <w:rFonts w:ascii="Calibri" w:hAnsi="Calibri" w:cs="Calibri"/>
        </w:rPr>
        <w:t xml:space="preserve">Which of the following disinfectant medications has proven effective at eliminating </w:t>
      </w:r>
      <w:proofErr w:type="spellStart"/>
      <w:r w:rsidRPr="003E1199">
        <w:rPr>
          <w:rFonts w:ascii="Calibri" w:hAnsi="Calibri" w:cs="Calibri"/>
          <w:i/>
          <w:iCs/>
        </w:rPr>
        <w:t>Emydomyces</w:t>
      </w:r>
      <w:proofErr w:type="spellEnd"/>
      <w:r w:rsidRPr="003E1199">
        <w:rPr>
          <w:rFonts w:ascii="Calibri" w:hAnsi="Calibri" w:cs="Calibri"/>
          <w:i/>
          <w:iCs/>
        </w:rPr>
        <w:t xml:space="preserve"> </w:t>
      </w:r>
      <w:proofErr w:type="spellStart"/>
      <w:r w:rsidRPr="003E1199">
        <w:rPr>
          <w:rFonts w:ascii="Calibri" w:hAnsi="Calibri" w:cs="Calibri"/>
          <w:i/>
          <w:iCs/>
        </w:rPr>
        <w:t>testavorans</w:t>
      </w:r>
      <w:proofErr w:type="spellEnd"/>
      <w:r>
        <w:rPr>
          <w:rFonts w:ascii="Calibri" w:hAnsi="Calibri" w:cs="Calibri"/>
        </w:rPr>
        <w:t xml:space="preserve"> in an ex vivo setting?</w:t>
      </w:r>
    </w:p>
    <w:p w14:paraId="76F1DDC5" w14:textId="77777777" w:rsidR="00F75789" w:rsidRDefault="00F75789" w:rsidP="00F75789">
      <w:pPr>
        <w:pStyle w:val="ListParagraph"/>
        <w:numPr>
          <w:ilvl w:val="0"/>
          <w:numId w:val="9"/>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Chlorhexidine diacetate 2% (correct)</w:t>
      </w:r>
    </w:p>
    <w:p w14:paraId="37D5D73D" w14:textId="77777777" w:rsidR="00F75789" w:rsidRDefault="00F75789" w:rsidP="00F75789">
      <w:pPr>
        <w:pStyle w:val="ListParagraph"/>
        <w:numPr>
          <w:ilvl w:val="0"/>
          <w:numId w:val="9"/>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Benzalkonium chloride</w:t>
      </w:r>
    </w:p>
    <w:p w14:paraId="21AEFEA0" w14:textId="77777777" w:rsidR="00F75789" w:rsidRDefault="00F75789" w:rsidP="00F75789">
      <w:pPr>
        <w:pStyle w:val="ListParagraph"/>
        <w:numPr>
          <w:ilvl w:val="0"/>
          <w:numId w:val="9"/>
        </w:numPr>
        <w:autoSpaceDE w:val="0"/>
        <w:autoSpaceDN w:val="0"/>
        <w:adjustRightInd w:val="0"/>
        <w:spacing w:after="0" w:line="240" w:lineRule="auto"/>
        <w:rPr>
          <w:rFonts w:ascii="Calibri" w:hAnsi="Calibri" w:cs="Calibri"/>
          <w:kern w:val="0"/>
          <w:sz w:val="22"/>
          <w:szCs w:val="22"/>
        </w:rPr>
      </w:pPr>
      <w:r>
        <w:rPr>
          <w:rFonts w:ascii="Calibri" w:hAnsi="Calibri" w:cs="Calibri"/>
          <w:kern w:val="0"/>
          <w:sz w:val="22"/>
          <w:szCs w:val="22"/>
        </w:rPr>
        <w:t>Ethanol</w:t>
      </w:r>
    </w:p>
    <w:p w14:paraId="516B1432" w14:textId="77777777" w:rsidR="00F75789" w:rsidRDefault="00F75789" w:rsidP="00F75789">
      <w:pPr>
        <w:pStyle w:val="ListParagraph"/>
        <w:numPr>
          <w:ilvl w:val="0"/>
          <w:numId w:val="9"/>
        </w:numPr>
        <w:autoSpaceDE w:val="0"/>
        <w:autoSpaceDN w:val="0"/>
        <w:adjustRightInd w:val="0"/>
        <w:spacing w:after="0" w:line="240" w:lineRule="auto"/>
        <w:rPr>
          <w:rFonts w:ascii="Calibri" w:hAnsi="Calibri" w:cs="Calibri"/>
          <w:kern w:val="0"/>
          <w:sz w:val="22"/>
          <w:szCs w:val="22"/>
        </w:rPr>
      </w:pPr>
      <w:proofErr w:type="spellStart"/>
      <w:r>
        <w:rPr>
          <w:rFonts w:ascii="Calibri" w:hAnsi="Calibri" w:cs="Calibri"/>
          <w:kern w:val="0"/>
          <w:sz w:val="22"/>
          <w:szCs w:val="22"/>
        </w:rPr>
        <w:t>Virkon</w:t>
      </w:r>
      <w:proofErr w:type="spellEnd"/>
      <w:r>
        <w:rPr>
          <w:rFonts w:ascii="Calibri" w:hAnsi="Calibri" w:cs="Calibri"/>
          <w:kern w:val="0"/>
          <w:sz w:val="22"/>
          <w:szCs w:val="22"/>
        </w:rPr>
        <w:t xml:space="preserve"> S (potassium </w:t>
      </w:r>
      <w:proofErr w:type="spellStart"/>
      <w:r>
        <w:rPr>
          <w:rFonts w:ascii="Calibri" w:hAnsi="Calibri" w:cs="Calibri"/>
          <w:kern w:val="0"/>
          <w:sz w:val="22"/>
          <w:szCs w:val="22"/>
        </w:rPr>
        <w:t>peroxymonosulfate</w:t>
      </w:r>
      <w:proofErr w:type="spellEnd"/>
      <w:r>
        <w:rPr>
          <w:rFonts w:ascii="Calibri" w:hAnsi="Calibri" w:cs="Calibri"/>
          <w:kern w:val="0"/>
          <w:sz w:val="22"/>
          <w:szCs w:val="22"/>
        </w:rPr>
        <w:t xml:space="preserve"> 21.41%)</w:t>
      </w:r>
    </w:p>
    <w:p w14:paraId="13F2945D" w14:textId="77777777" w:rsidR="00F75789" w:rsidRPr="003E1199" w:rsidRDefault="00F75789" w:rsidP="00F75789">
      <w:pPr>
        <w:pStyle w:val="ListParagraph"/>
        <w:numPr>
          <w:ilvl w:val="0"/>
          <w:numId w:val="9"/>
        </w:numPr>
        <w:autoSpaceDE w:val="0"/>
        <w:autoSpaceDN w:val="0"/>
        <w:adjustRightInd w:val="0"/>
        <w:spacing w:after="0" w:line="240" w:lineRule="auto"/>
        <w:rPr>
          <w:rFonts w:ascii="Calibri" w:hAnsi="Calibri" w:cs="Calibri"/>
          <w:kern w:val="0"/>
          <w:sz w:val="22"/>
          <w:szCs w:val="22"/>
        </w:rPr>
      </w:pPr>
      <w:proofErr w:type="spellStart"/>
      <w:r>
        <w:rPr>
          <w:rFonts w:ascii="Calibri" w:hAnsi="Calibri" w:cs="Calibri"/>
          <w:kern w:val="0"/>
          <w:sz w:val="22"/>
          <w:szCs w:val="22"/>
        </w:rPr>
        <w:t>Dessication</w:t>
      </w:r>
      <w:proofErr w:type="spellEnd"/>
    </w:p>
    <w:p w14:paraId="5C32713A" w14:textId="77777777" w:rsidR="00F75789" w:rsidRPr="0042783B" w:rsidRDefault="00F75789" w:rsidP="00F75789">
      <w:pPr>
        <w:spacing w:line="240" w:lineRule="auto"/>
        <w:rPr>
          <w:rFonts w:ascii="Calibri" w:hAnsi="Calibri" w:cs="Calibri"/>
        </w:rPr>
      </w:pPr>
    </w:p>
    <w:p w14:paraId="5E130A0D" w14:textId="77777777" w:rsidR="00F75789" w:rsidRDefault="00F75789">
      <w:pPr>
        <w:rPr>
          <w:rFonts w:ascii="Times New Roman" w:eastAsia="Times New Roman" w:hAnsi="Times New Roman" w:cs="Times New Roman"/>
        </w:rPr>
      </w:pPr>
    </w:p>
    <w:sectPr w:rsidR="00F757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85764C-28ED-1943-A80E-5E2685076FC3}"/>
    <w:embedBold r:id="rId2" w:fontKey="{96EB9E6B-38E8-5741-B1C4-C9760DC6AE0F}"/>
    <w:embedItalic r:id="rId3" w:fontKey="{2ECF9896-7B11-F543-9483-6C5B165BCCC6}"/>
  </w:font>
  <w:font w:name="Cambria">
    <w:panose1 w:val="02040503050406030204"/>
    <w:charset w:val="00"/>
    <w:family w:val="roman"/>
    <w:pitch w:val="variable"/>
    <w:sig w:usb0="E00002FF" w:usb1="400004FF" w:usb2="00000000" w:usb3="00000000" w:csb0="0000019F" w:csb1="00000000"/>
    <w:embedRegular r:id="rId4" w:fontKey="{AC4073BD-B070-1048-9561-4DA061859B7C}"/>
  </w:font>
  <w:font w:name="Courier New">
    <w:panose1 w:val="02070309020205020404"/>
    <w:charset w:val="00"/>
    <w:family w:val="modern"/>
    <w:pitch w:val="fixed"/>
    <w:sig w:usb0="E0002AFF" w:usb1="C0007843" w:usb2="00000009" w:usb3="00000000" w:csb0="000001FF" w:csb1="00000000"/>
    <w:embedRegular r:id="rId5" w:fontKey="{48DCB343-3688-734E-8479-A7CD5C7EB9B7}"/>
  </w:font>
  <w:font w:name="Wingdings">
    <w:panose1 w:val="05000000000000000000"/>
    <w:charset w:val="4D"/>
    <w:family w:val="decorative"/>
    <w:pitch w:val="variable"/>
    <w:sig w:usb0="00000003" w:usb1="00000000" w:usb2="00000000" w:usb3="00000000" w:csb0="80000001" w:csb1="00000000"/>
    <w:embedRegular r:id="rId6" w:fontKey="{63A46822-1FC9-C04F-B763-7341B7A5471A}"/>
  </w:font>
  <w:font w:name="Symbol">
    <w:panose1 w:val="05050102010706020507"/>
    <w:charset w:val="02"/>
    <w:family w:val="decorative"/>
    <w:pitch w:val="variable"/>
    <w:sig w:usb0="00000000" w:usb1="10000000" w:usb2="00000000" w:usb3="00000000" w:csb0="80000000" w:csb1="00000000"/>
    <w:embedRegular r:id="rId7" w:fontKey="{3F509A13-7956-924B-BAD5-2807BE538EE5}"/>
  </w:font>
  <w:font w:name="Aptos">
    <w:panose1 w:val="020B0004020202020204"/>
    <w:charset w:val="00"/>
    <w:family w:val="swiss"/>
    <w:pitch w:val="variable"/>
    <w:sig w:usb0="20000287" w:usb1="00000003" w:usb2="00000000" w:usb3="00000000" w:csb0="0000019F" w:csb1="00000000"/>
    <w:embedRegular r:id="rId8" w:fontKey="{A809034D-2617-CF48-A3B1-BF20DAAAC636}"/>
  </w:font>
  <w:font w:name="Calibri">
    <w:panose1 w:val="020F0502020204030204"/>
    <w:charset w:val="00"/>
    <w:family w:val="swiss"/>
    <w:pitch w:val="variable"/>
    <w:sig w:usb0="E0002AFF" w:usb1="C000247B" w:usb2="00000009" w:usb3="00000000" w:csb0="000001FF" w:csb1="00000000"/>
    <w:embedRegular r:id="rId9" w:fontKey="{60B14369-B1D3-9541-944C-4F431DF07C65}"/>
    <w:embedBold r:id="rId10" w:fontKey="{9C4A9EA0-AEF8-7F4F-A545-4719C15EFD74}"/>
    <w:embedItalic r:id="rId11" w:fontKey="{8838D6AF-0DC5-164E-95D3-E10B683CA095}"/>
    <w:embedBoldItalic r:id="rId12" w:fontKey="{DD195CDB-5840-9244-BFFB-CE5AACD16071}"/>
  </w:font>
  <w:font w:name="Arial">
    <w:panose1 w:val="020B0604020202020204"/>
    <w:charset w:val="00"/>
    <w:family w:val="swiss"/>
    <w:pitch w:val="variable"/>
    <w:sig w:usb0="E0002AFF" w:usb1="C0007843" w:usb2="00000009" w:usb3="00000000" w:csb0="000001FF" w:csb1="00000000"/>
    <w:embedRegular r:id="rId13" w:fontKey="{5FF92F9C-5E53-8640-B9EC-A93B13842B5C}"/>
    <w:embedBold r:id="rId14" w:fontKey="{E441CBFC-5DB4-064A-A9A9-5CA74EB1B823}"/>
    <w:embedItalic r:id="rId15" w:fontKey="{F961BE77-BA8D-0C4A-B0CA-57BF2CAA977E}"/>
    <w:embedBoldItalic r:id="rId16" w:fontKey="{8A11BECB-6FC9-B64F-B73B-E793A5BFF5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0F38"/>
    <w:multiLevelType w:val="hybridMultilevel"/>
    <w:tmpl w:val="5A56E89A"/>
    <w:lvl w:ilvl="0" w:tplc="2A961CC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D5DB7"/>
    <w:multiLevelType w:val="hybridMultilevel"/>
    <w:tmpl w:val="CD8C1096"/>
    <w:lvl w:ilvl="0" w:tplc="33D851B4">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B44C36"/>
    <w:multiLevelType w:val="hybridMultilevel"/>
    <w:tmpl w:val="51F45AC2"/>
    <w:lvl w:ilvl="0" w:tplc="A85C70F2">
      <w:start w:val="1"/>
      <w:numFmt w:val="upperLetter"/>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E9465F"/>
    <w:multiLevelType w:val="hybridMultilevel"/>
    <w:tmpl w:val="9956F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C46AAA"/>
    <w:multiLevelType w:val="multilevel"/>
    <w:tmpl w:val="96DE5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897C8D"/>
    <w:multiLevelType w:val="hybridMultilevel"/>
    <w:tmpl w:val="9BE88196"/>
    <w:lvl w:ilvl="0" w:tplc="3048BEA6">
      <w:start w:val="1"/>
      <w:numFmt w:val="upp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9F28B3"/>
    <w:multiLevelType w:val="hybridMultilevel"/>
    <w:tmpl w:val="39109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0F7A60"/>
    <w:multiLevelType w:val="hybridMultilevel"/>
    <w:tmpl w:val="22E896CA"/>
    <w:lvl w:ilvl="0" w:tplc="EBA486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616982"/>
    <w:multiLevelType w:val="hybridMultilevel"/>
    <w:tmpl w:val="EA602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020644">
    <w:abstractNumId w:val="4"/>
  </w:num>
  <w:num w:numId="2" w16cid:durableId="964386473">
    <w:abstractNumId w:val="6"/>
  </w:num>
  <w:num w:numId="3" w16cid:durableId="1036008556">
    <w:abstractNumId w:val="0"/>
  </w:num>
  <w:num w:numId="4" w16cid:durableId="2116247631">
    <w:abstractNumId w:val="3"/>
  </w:num>
  <w:num w:numId="5" w16cid:durableId="454642989">
    <w:abstractNumId w:val="2"/>
  </w:num>
  <w:num w:numId="6" w16cid:durableId="1969167580">
    <w:abstractNumId w:val="5"/>
  </w:num>
  <w:num w:numId="7" w16cid:durableId="857692611">
    <w:abstractNumId w:val="7"/>
  </w:num>
  <w:num w:numId="8" w16cid:durableId="1699697513">
    <w:abstractNumId w:val="1"/>
  </w:num>
  <w:num w:numId="9" w16cid:durableId="8249730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6C0"/>
    <w:rsid w:val="004536C0"/>
    <w:rsid w:val="00645B9C"/>
    <w:rsid w:val="00F75789"/>
    <w:rsid w:val="00FD5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4EEFE3"/>
  <w15:docId w15:val="{E643DE4B-E8C4-0A44-8675-2C70E42F7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75789"/>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1703</Words>
  <Characters>9711</Characters>
  <Application>Microsoft Office Word</Application>
  <DocSecurity>0</DocSecurity>
  <Lines>80</Lines>
  <Paragraphs>22</Paragraphs>
  <ScaleCrop>false</ScaleCrop>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2025-10-06T17:32:00Z</dcterms:created>
  <dcterms:modified xsi:type="dcterms:W3CDTF">2025-10-06T17:32:00Z</dcterms:modified>
</cp:coreProperties>
</file>