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E006B9" w14:textId="3BFEF35E" w:rsidR="00BD257D" w:rsidRPr="00BD257D" w:rsidRDefault="00BD257D" w:rsidP="003354E0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 w:rsidRPr="00BD257D">
        <w:rPr>
          <w:rFonts w:ascii="Times New Roman" w:eastAsia="Times New Roman" w:hAnsi="Times New Roman" w:cs="Times New Roman"/>
          <w:b/>
          <w:bCs/>
          <w:color w:val="000000"/>
          <w:lang w:val="en-US"/>
        </w:rPr>
        <w:t>QUESTION:</w:t>
      </w:r>
      <w:r w:rsidRPr="00BD257D">
        <w:rPr>
          <w:rFonts w:ascii="Times New Roman" w:eastAsia="Times New Roman" w:hAnsi="Times New Roman" w:cs="Times New Roman"/>
          <w:color w:val="000000"/>
          <w:lang w:val="en-US"/>
        </w:rPr>
        <w:t xml:space="preserve"> Which of the following changes might you expect to see in a white rhino maladapted to boma confinement during a translocation scenario?</w:t>
      </w:r>
    </w:p>
    <w:p w14:paraId="726EA7F1" w14:textId="77777777" w:rsidR="00BD257D" w:rsidRPr="003354E0" w:rsidRDefault="00BD257D" w:rsidP="003354E0">
      <w:pPr>
        <w:pStyle w:val="ListParagraph"/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lang w:val="en-US"/>
        </w:rPr>
      </w:pPr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Increased </w:t>
      </w:r>
      <w:proofErr w:type="spellStart"/>
      <w:r w:rsidRPr="003354E0">
        <w:rPr>
          <w:rFonts w:ascii="Times New Roman" w:eastAsia="Times New Roman" w:hAnsi="Times New Roman" w:cs="Times New Roman"/>
          <w:color w:val="000000"/>
          <w:lang w:val="en-US"/>
        </w:rPr>
        <w:t>Hct</w:t>
      </w:r>
      <w:proofErr w:type="spellEnd"/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 and increased body weight</w:t>
      </w:r>
    </w:p>
    <w:p w14:paraId="1A2DC65C" w14:textId="77777777" w:rsidR="00BD257D" w:rsidRPr="003354E0" w:rsidRDefault="00BD257D" w:rsidP="003354E0">
      <w:pPr>
        <w:pStyle w:val="ListParagraph"/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lang w:val="en-US"/>
        </w:rPr>
      </w:pPr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Decreased body weight and increased </w:t>
      </w:r>
      <w:proofErr w:type="spellStart"/>
      <w:r w:rsidRPr="003354E0">
        <w:rPr>
          <w:rFonts w:ascii="Times New Roman" w:eastAsia="Times New Roman" w:hAnsi="Times New Roman" w:cs="Times New Roman"/>
          <w:color w:val="000000"/>
          <w:lang w:val="en-US"/>
        </w:rPr>
        <w:t>tWBC</w:t>
      </w:r>
      <w:proofErr w:type="spellEnd"/>
    </w:p>
    <w:p w14:paraId="691F69FF" w14:textId="77777777" w:rsidR="00BD257D" w:rsidRPr="003354E0" w:rsidRDefault="00BD257D" w:rsidP="003354E0">
      <w:pPr>
        <w:pStyle w:val="ListParagraph"/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lang w:val="en-US"/>
        </w:rPr>
      </w:pPr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Decreased </w:t>
      </w:r>
      <w:proofErr w:type="spellStart"/>
      <w:r w:rsidRPr="003354E0">
        <w:rPr>
          <w:rFonts w:ascii="Times New Roman" w:eastAsia="Times New Roman" w:hAnsi="Times New Roman" w:cs="Times New Roman"/>
          <w:color w:val="000000"/>
          <w:lang w:val="en-US"/>
        </w:rPr>
        <w:t>tWBC</w:t>
      </w:r>
      <w:proofErr w:type="spellEnd"/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 and increased Ca</w:t>
      </w:r>
    </w:p>
    <w:p w14:paraId="75324CC7" w14:textId="16FFF2C4" w:rsidR="00BD257D" w:rsidRPr="003354E0" w:rsidRDefault="00BD257D" w:rsidP="003354E0">
      <w:pPr>
        <w:pStyle w:val="ListParagraph"/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lang w:val="en-US"/>
        </w:rPr>
      </w:pPr>
      <w:r w:rsidRPr="003354E0">
        <w:rPr>
          <w:rFonts w:ascii="Times New Roman" w:eastAsia="Times New Roman" w:hAnsi="Times New Roman" w:cs="Times New Roman"/>
          <w:color w:val="000000"/>
          <w:lang w:val="en-US"/>
        </w:rPr>
        <w:t>Decreased Ca and increased AST</w:t>
      </w:r>
    </w:p>
    <w:p w14:paraId="25B852C6" w14:textId="77777777" w:rsidR="00BD257D" w:rsidRPr="003354E0" w:rsidRDefault="00BD257D" w:rsidP="003354E0">
      <w:pPr>
        <w:pStyle w:val="ListParagraph"/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lang w:val="en-US"/>
        </w:rPr>
      </w:pPr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Decreased AST and increased </w:t>
      </w:r>
      <w:proofErr w:type="spellStart"/>
      <w:r w:rsidRPr="003354E0">
        <w:rPr>
          <w:rFonts w:ascii="Times New Roman" w:eastAsia="Times New Roman" w:hAnsi="Times New Roman" w:cs="Times New Roman"/>
          <w:color w:val="000000"/>
          <w:lang w:val="en-US"/>
        </w:rPr>
        <w:t>Hct</w:t>
      </w:r>
      <w:proofErr w:type="spellEnd"/>
    </w:p>
    <w:p w14:paraId="255E93EE" w14:textId="77777777" w:rsidR="003354E0" w:rsidRDefault="00BD257D" w:rsidP="003354E0">
      <w:pPr>
        <w:spacing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BD257D">
        <w:rPr>
          <w:rFonts w:ascii="Times New Roman" w:eastAsia="Times New Roman" w:hAnsi="Times New Roman" w:cs="Times New Roman"/>
          <w:color w:val="000000"/>
          <w:lang w:val="en-US"/>
        </w:rPr>
        <w:t xml:space="preserve">Answer: </w:t>
      </w:r>
      <w:r w:rsidRPr="003354E0">
        <w:rPr>
          <w:rFonts w:ascii="Times New Roman" w:eastAsia="Times New Roman" w:hAnsi="Times New Roman" w:cs="Times New Roman"/>
          <w:color w:val="000000"/>
          <w:lang w:val="en-US"/>
        </w:rPr>
        <w:t>B</w:t>
      </w:r>
    </w:p>
    <w:p w14:paraId="6CA7F84E" w14:textId="7ED4F9A6" w:rsidR="00BD257D" w:rsidRPr="003354E0" w:rsidRDefault="00BD257D" w:rsidP="003354E0">
      <w:pPr>
        <w:spacing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Source: </w:t>
      </w:r>
      <w:r w:rsidRPr="00055B79">
        <w:rPr>
          <w:rFonts w:ascii="Times New Roman" w:eastAsia="Times New Roman" w:hAnsi="Times New Roman" w:cs="Times New Roman"/>
          <w:color w:val="000000"/>
          <w:lang w:val="en-US"/>
        </w:rPr>
        <w:t xml:space="preserve">EFFECT OF BOMA CONFINEMENT ON HEMATOLOGIC AND BIOCHEMICAL VALUES IN FREE-RANGING WHITE RHINOCEROS (CERATOTHERIUM SIMUM) IN KRUGER NATIONAL PARK, SOUTH AFRICA. </w:t>
      </w:r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JWD </w:t>
      </w:r>
      <w:r w:rsidRPr="00055B79">
        <w:rPr>
          <w:rFonts w:ascii="Times New Roman" w:eastAsia="Times New Roman" w:hAnsi="Times New Roman" w:cs="Times New Roman"/>
          <w:color w:val="000000"/>
          <w:lang w:val="en-US"/>
        </w:rPr>
        <w:t>2022</w:t>
      </w:r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  <w:r w:rsidRPr="00055B79">
        <w:rPr>
          <w:rFonts w:ascii="Times New Roman" w:eastAsia="Times New Roman" w:hAnsi="Times New Roman" w:cs="Times New Roman"/>
          <w:color w:val="000000"/>
          <w:lang w:val="en-US"/>
        </w:rPr>
        <w:t>Miller</w:t>
      </w:r>
      <w:r w:rsidRPr="003354E0">
        <w:rPr>
          <w:rFonts w:ascii="Times New Roman" w:eastAsia="Times New Roman" w:hAnsi="Times New Roman" w:cs="Times New Roman"/>
          <w:color w:val="000000"/>
          <w:lang w:val="en-US"/>
        </w:rPr>
        <w:t xml:space="preserve"> et al</w:t>
      </w:r>
      <w:r w:rsidRPr="00055B79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</w:p>
    <w:p w14:paraId="73F74D1F" w14:textId="77777777" w:rsidR="00BD257D" w:rsidRDefault="00BD257D" w:rsidP="003354E0">
      <w:pPr>
        <w:spacing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C38501E" w14:textId="77777777" w:rsidR="003354E0" w:rsidRPr="003354E0" w:rsidRDefault="003354E0" w:rsidP="003354E0">
      <w:pPr>
        <w:spacing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3A83CB8" w14:textId="77777777" w:rsidR="00BD257D" w:rsidRPr="003354E0" w:rsidRDefault="00BD257D" w:rsidP="003354E0">
      <w:pPr>
        <w:spacing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4359165" w14:textId="77777777" w:rsidR="003354E0" w:rsidRDefault="00BD257D" w:rsidP="003354E0">
      <w:pPr>
        <w:pStyle w:val="NormalWeb"/>
        <w:spacing w:before="0" w:beforeAutospacing="0" w:after="0" w:afterAutospacing="0"/>
        <w:rPr>
          <w:color w:val="212121"/>
          <w:sz w:val="22"/>
          <w:szCs w:val="22"/>
        </w:rPr>
      </w:pPr>
      <w:r w:rsidRPr="003354E0">
        <w:rPr>
          <w:b/>
          <w:bCs/>
          <w:color w:val="000000"/>
          <w:sz w:val="22"/>
          <w:szCs w:val="22"/>
        </w:rPr>
        <w:t>QUESTION:</w:t>
      </w:r>
      <w:r w:rsidR="003354E0" w:rsidRPr="003354E0">
        <w:rPr>
          <w:color w:val="000000"/>
          <w:sz w:val="22"/>
          <w:szCs w:val="22"/>
        </w:rPr>
        <w:t xml:space="preserve"> </w:t>
      </w:r>
      <w:r w:rsidR="003354E0" w:rsidRPr="003354E0">
        <w:rPr>
          <w:color w:val="212121"/>
          <w:sz w:val="22"/>
          <w:szCs w:val="22"/>
        </w:rPr>
        <w:t>A single dose of oral firocoxib (0.1 mg/kg equine dosage) in black rhinos (</w:t>
      </w:r>
      <w:proofErr w:type="spellStart"/>
      <w:r w:rsidR="003354E0" w:rsidRPr="003354E0">
        <w:rPr>
          <w:i/>
          <w:iCs/>
          <w:color w:val="212121"/>
          <w:sz w:val="22"/>
          <w:szCs w:val="22"/>
        </w:rPr>
        <w:t>Diceros</w:t>
      </w:r>
      <w:proofErr w:type="spellEnd"/>
      <w:r w:rsidR="003354E0" w:rsidRPr="003354E0">
        <w:rPr>
          <w:i/>
          <w:iCs/>
          <w:color w:val="212121"/>
          <w:sz w:val="22"/>
          <w:szCs w:val="22"/>
        </w:rPr>
        <w:t xml:space="preserve"> </w:t>
      </w:r>
      <w:proofErr w:type="spellStart"/>
      <w:r w:rsidR="003354E0" w:rsidRPr="003354E0">
        <w:rPr>
          <w:i/>
          <w:iCs/>
          <w:color w:val="212121"/>
          <w:sz w:val="22"/>
          <w:szCs w:val="22"/>
        </w:rPr>
        <w:t>bicornis</w:t>
      </w:r>
      <w:proofErr w:type="spellEnd"/>
      <w:r w:rsidR="003354E0" w:rsidRPr="003354E0">
        <w:rPr>
          <w:color w:val="212121"/>
          <w:sz w:val="22"/>
          <w:szCs w:val="22"/>
        </w:rPr>
        <w:t>) is likely to have</w:t>
      </w:r>
      <w:r w:rsidR="003354E0">
        <w:rPr>
          <w:color w:val="212121"/>
          <w:sz w:val="22"/>
          <w:szCs w:val="22"/>
        </w:rPr>
        <w:t>:</w:t>
      </w:r>
    </w:p>
    <w:p w14:paraId="4EE609A1" w14:textId="77777777" w:rsidR="003354E0" w:rsidRDefault="003354E0" w:rsidP="003354E0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212121"/>
          <w:sz w:val="22"/>
          <w:szCs w:val="22"/>
        </w:rPr>
      </w:pPr>
      <w:r w:rsidRPr="003354E0">
        <w:rPr>
          <w:color w:val="212121"/>
          <w:sz w:val="22"/>
          <w:szCs w:val="22"/>
        </w:rPr>
        <w:t xml:space="preserve">Prolonged </w:t>
      </w:r>
      <w:proofErr w:type="spellStart"/>
      <w:r w:rsidRPr="003354E0">
        <w:rPr>
          <w:color w:val="212121"/>
          <w:sz w:val="22"/>
          <w:szCs w:val="22"/>
        </w:rPr>
        <w:t>Tmax</w:t>
      </w:r>
      <w:proofErr w:type="spellEnd"/>
      <w:r w:rsidRPr="003354E0">
        <w:rPr>
          <w:color w:val="212121"/>
          <w:sz w:val="22"/>
          <w:szCs w:val="22"/>
        </w:rPr>
        <w:t xml:space="preserve"> compared to oral meloxicam</w:t>
      </w:r>
    </w:p>
    <w:p w14:paraId="7DAE4E34" w14:textId="76C3C193" w:rsidR="003354E0" w:rsidRPr="003354E0" w:rsidRDefault="003354E0" w:rsidP="003354E0">
      <w:pPr>
        <w:pStyle w:val="NormalWeb"/>
        <w:numPr>
          <w:ilvl w:val="0"/>
          <w:numId w:val="14"/>
        </w:numPr>
        <w:spacing w:before="0" w:beforeAutospacing="0" w:after="0" w:afterAutospacing="0"/>
        <w:rPr>
          <w:sz w:val="22"/>
          <w:szCs w:val="22"/>
        </w:rPr>
      </w:pPr>
      <w:r w:rsidRPr="003354E0">
        <w:rPr>
          <w:color w:val="212121"/>
          <w:sz w:val="22"/>
          <w:szCs w:val="22"/>
        </w:rPr>
        <w:t xml:space="preserve">Significantly lower </w:t>
      </w:r>
      <w:proofErr w:type="spellStart"/>
      <w:r w:rsidRPr="003354E0">
        <w:rPr>
          <w:color w:val="212121"/>
          <w:sz w:val="22"/>
          <w:szCs w:val="22"/>
        </w:rPr>
        <w:t>Cmax</w:t>
      </w:r>
      <w:proofErr w:type="spellEnd"/>
      <w:r w:rsidRPr="003354E0">
        <w:rPr>
          <w:color w:val="212121"/>
          <w:sz w:val="22"/>
          <w:szCs w:val="22"/>
        </w:rPr>
        <w:t xml:space="preserve"> than domestic horses</w:t>
      </w:r>
    </w:p>
    <w:p w14:paraId="630BDE46" w14:textId="77777777" w:rsidR="003354E0" w:rsidRPr="003354E0" w:rsidRDefault="003354E0" w:rsidP="003354E0">
      <w:pPr>
        <w:pStyle w:val="ListParagraph"/>
        <w:numPr>
          <w:ilvl w:val="0"/>
          <w:numId w:val="14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212121"/>
          <w:lang w:val="en-US"/>
        </w:rPr>
      </w:pPr>
      <w:r w:rsidRPr="003354E0">
        <w:rPr>
          <w:rFonts w:ascii="Times New Roman" w:eastAsia="Times New Roman" w:hAnsi="Times New Roman" w:cs="Times New Roman"/>
          <w:color w:val="212121"/>
          <w:lang w:val="en-US"/>
        </w:rPr>
        <w:t xml:space="preserve">Adverse reactions of </w:t>
      </w:r>
      <w:proofErr w:type="spellStart"/>
      <w:r w:rsidRPr="003354E0">
        <w:rPr>
          <w:rFonts w:ascii="Times New Roman" w:eastAsia="Times New Roman" w:hAnsi="Times New Roman" w:cs="Times New Roman"/>
          <w:color w:val="212121"/>
          <w:lang w:val="en-US"/>
        </w:rPr>
        <w:t>hyporexia</w:t>
      </w:r>
      <w:proofErr w:type="spellEnd"/>
      <w:r w:rsidRPr="003354E0">
        <w:rPr>
          <w:rFonts w:ascii="Times New Roman" w:eastAsia="Times New Roman" w:hAnsi="Times New Roman" w:cs="Times New Roman"/>
          <w:color w:val="212121"/>
          <w:lang w:val="en-US"/>
        </w:rPr>
        <w:t xml:space="preserve"> and gastric ulcers</w:t>
      </w:r>
    </w:p>
    <w:p w14:paraId="168D8EC4" w14:textId="68F03AC7" w:rsidR="003354E0" w:rsidRPr="003354E0" w:rsidRDefault="003354E0" w:rsidP="003354E0">
      <w:pPr>
        <w:pStyle w:val="ListParagraph"/>
        <w:numPr>
          <w:ilvl w:val="0"/>
          <w:numId w:val="14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212121"/>
          <w:lang w:val="en-US"/>
        </w:rPr>
      </w:pPr>
      <w:r w:rsidRPr="003354E0">
        <w:rPr>
          <w:rFonts w:ascii="Times New Roman" w:eastAsia="Times New Roman" w:hAnsi="Times New Roman" w:cs="Times New Roman"/>
          <w:color w:val="212121"/>
          <w:lang w:val="en-US"/>
        </w:rPr>
        <w:t xml:space="preserve">Short </w:t>
      </w:r>
      <w:proofErr w:type="spellStart"/>
      <w:r w:rsidRPr="003354E0">
        <w:rPr>
          <w:rFonts w:ascii="Times New Roman" w:eastAsia="Times New Roman" w:hAnsi="Times New Roman" w:cs="Times New Roman"/>
          <w:color w:val="212121"/>
          <w:lang w:val="en-US"/>
        </w:rPr>
        <w:t>half life</w:t>
      </w:r>
      <w:proofErr w:type="spellEnd"/>
      <w:r w:rsidRPr="003354E0">
        <w:rPr>
          <w:rFonts w:ascii="Times New Roman" w:eastAsia="Times New Roman" w:hAnsi="Times New Roman" w:cs="Times New Roman"/>
          <w:color w:val="212121"/>
          <w:lang w:val="en-US"/>
        </w:rPr>
        <w:t xml:space="preserve"> compared to other domestic herbivores</w:t>
      </w:r>
    </w:p>
    <w:p w14:paraId="4FAAACF3" w14:textId="77777777" w:rsidR="003354E0" w:rsidRPr="003354E0" w:rsidRDefault="003354E0" w:rsidP="003354E0">
      <w:pPr>
        <w:pStyle w:val="ListParagraph"/>
        <w:numPr>
          <w:ilvl w:val="0"/>
          <w:numId w:val="14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212121"/>
          <w:lang w:val="en-US"/>
        </w:rPr>
      </w:pPr>
      <w:r w:rsidRPr="003354E0">
        <w:rPr>
          <w:rFonts w:ascii="Times New Roman" w:eastAsia="Times New Roman" w:hAnsi="Times New Roman" w:cs="Times New Roman"/>
          <w:color w:val="212121"/>
          <w:lang w:val="en-US"/>
        </w:rPr>
        <w:t>Poor consumption compliance in banana vehicle</w:t>
      </w:r>
    </w:p>
    <w:p w14:paraId="280EF824" w14:textId="77777777" w:rsidR="003354E0" w:rsidRDefault="003354E0" w:rsidP="003354E0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 w:rsidRPr="003354E0">
        <w:rPr>
          <w:rFonts w:ascii="Times New Roman" w:eastAsia="Times New Roman" w:hAnsi="Times New Roman" w:cs="Times New Roman"/>
          <w:color w:val="212121"/>
          <w:lang w:val="en-US"/>
        </w:rPr>
        <w:t xml:space="preserve">Answer: D - T/12 in black rhino (5h) </w:t>
      </w:r>
      <w:proofErr w:type="gramStart"/>
      <w:r w:rsidRPr="003354E0">
        <w:rPr>
          <w:rFonts w:ascii="Times New Roman" w:eastAsia="Times New Roman" w:hAnsi="Times New Roman" w:cs="Times New Roman"/>
          <w:color w:val="212121"/>
          <w:lang w:val="en-US"/>
        </w:rPr>
        <w:t>similar to</w:t>
      </w:r>
      <w:proofErr w:type="gramEnd"/>
      <w:r w:rsidRPr="003354E0">
        <w:rPr>
          <w:rFonts w:ascii="Times New Roman" w:eastAsia="Times New Roman" w:hAnsi="Times New Roman" w:cs="Times New Roman"/>
          <w:color w:val="212121"/>
          <w:lang w:val="en-US"/>
        </w:rPr>
        <w:t xml:space="preserve"> dogs (6.5h) vs. other herbivores (horses 30h, calves 19h, goats 21h) </w:t>
      </w:r>
    </w:p>
    <w:p w14:paraId="40CA029A" w14:textId="0B6466F7" w:rsidR="002F2D82" w:rsidRPr="003354E0" w:rsidRDefault="002F2D82" w:rsidP="003354E0">
      <w:pPr>
        <w:spacing w:line="240" w:lineRule="auto"/>
        <w:rPr>
          <w:rFonts w:ascii="Times New Roman" w:eastAsia="Times New Roman" w:hAnsi="Times New Roman" w:cs="Times New Roman"/>
          <w:lang w:val="en-US"/>
        </w:rPr>
      </w:pPr>
      <w:r w:rsidRPr="003354E0">
        <w:rPr>
          <w:rFonts w:ascii="Times New Roman" w:hAnsi="Times New Roman" w:cs="Times New Roman"/>
          <w:color w:val="000000"/>
        </w:rPr>
        <w:t xml:space="preserve">Source: PHARMACOKINETIC PROFILES OF ORAL PHENYLBUTAZONE, MELOXICAM, AND FIROCOXIB IN SOUTHERN BLACK RHINOCEROS (DICEROS BICORNIS MINOR). JZWM 2024. </w:t>
      </w:r>
      <w:r w:rsidRPr="003354E0">
        <w:rPr>
          <w:rFonts w:ascii="Times New Roman" w:hAnsi="Times New Roman" w:cs="Times New Roman"/>
          <w:color w:val="212121"/>
          <w:shd w:val="clear" w:color="auto" w:fill="FFFFFF"/>
        </w:rPr>
        <w:t xml:space="preserve">Bryant </w:t>
      </w:r>
      <w:r w:rsidR="003354E0">
        <w:rPr>
          <w:rFonts w:ascii="Times New Roman" w:hAnsi="Times New Roman" w:cs="Times New Roman"/>
          <w:color w:val="212121"/>
          <w:shd w:val="clear" w:color="auto" w:fill="FFFFFF"/>
        </w:rPr>
        <w:t>et al.</w:t>
      </w:r>
    </w:p>
    <w:p w14:paraId="00000025" w14:textId="0B94FC24" w:rsidR="00C92570" w:rsidRDefault="00C92570" w:rsidP="00BD257D"/>
    <w:p w14:paraId="3A61AC39" w14:textId="77777777" w:rsidR="001740F5" w:rsidRDefault="001740F5" w:rsidP="001740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Journal of Zoo and Wildlife Medicine, 54(2): 336-344, 2023. </w:t>
      </w:r>
    </w:p>
    <w:p w14:paraId="5018E5A4" w14:textId="77777777" w:rsidR="001740F5" w:rsidRDefault="001740F5" w:rsidP="001740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PHARMACOKINETICS OF ORAL FLUNIXIN MEGLUMINE, MELOXICAM, OR GABAPENTIN IN THREE BLACK RHINOCEROS (</w:t>
      </w:r>
      <w:r>
        <w:rPr>
          <w:rFonts w:ascii="Calibri" w:eastAsia="Calibri" w:hAnsi="Calibri" w:cs="Calibri"/>
          <w:b/>
          <w:i/>
        </w:rPr>
        <w:t>DICEROS BICORNIS</w:t>
      </w:r>
      <w:r>
        <w:rPr>
          <w:rFonts w:ascii="Calibri" w:eastAsia="Calibri" w:hAnsi="Calibri" w:cs="Calibri"/>
          <w:b/>
        </w:rPr>
        <w:t xml:space="preserve">) - </w:t>
      </w:r>
      <w:r>
        <w:rPr>
          <w:rFonts w:ascii="Calibri" w:eastAsia="Calibri" w:hAnsi="Calibri" w:cs="Calibri"/>
        </w:rPr>
        <w:t>reviewed by HSS</w:t>
      </w:r>
    </w:p>
    <w:p w14:paraId="662EA3BC" w14:textId="77777777" w:rsidR="001740F5" w:rsidRDefault="001740F5" w:rsidP="001740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John A. Flanders Jr., Ronette Gehring, Kristina </w:t>
      </w:r>
      <w:proofErr w:type="spellStart"/>
      <w:r>
        <w:rPr>
          <w:rFonts w:ascii="Calibri" w:eastAsia="Calibri" w:hAnsi="Calibri" w:cs="Calibri"/>
        </w:rPr>
        <w:t>Delaski</w:t>
      </w:r>
      <w:proofErr w:type="spellEnd"/>
      <w:r>
        <w:rPr>
          <w:rFonts w:ascii="Calibri" w:eastAsia="Calibri" w:hAnsi="Calibri" w:cs="Calibri"/>
        </w:rPr>
        <w:t>, Larry Wulf, Johann Coetzee, Kathryn C. Gamble</w:t>
      </w:r>
    </w:p>
    <w:p w14:paraId="264C575D" w14:textId="77777777" w:rsidR="001740F5" w:rsidRDefault="001740F5" w:rsidP="001740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AFBE36C" wp14:editId="4C507030">
            <wp:extent cx="2005013" cy="1128922"/>
            <wp:effectExtent l="0" t="0" r="0" b="0"/>
            <wp:docPr id="2" name="Picture 1" descr="A rhinoceros standing on d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rhinoceros standing on dir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128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04C1F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</w:t>
      </w:r>
    </w:p>
    <w:p w14:paraId="41352A16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2F9C6C41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Which of the following is most correct regarding the pharmacokinetics of flunixin meglumine, meloxicam, and gabapentin in black rhinoceros (</w:t>
      </w:r>
      <w:proofErr w:type="spellStart"/>
      <w:r>
        <w:rPr>
          <w:rFonts w:ascii="Calibri" w:eastAsia="Calibri" w:hAnsi="Calibri" w:cs="Calibri"/>
          <w:i/>
        </w:rPr>
        <w:t>Diceros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bicornis</w:t>
      </w:r>
      <w:proofErr w:type="spellEnd"/>
      <w:r>
        <w:rPr>
          <w:rFonts w:ascii="Calibri" w:eastAsia="Calibri" w:hAnsi="Calibri" w:cs="Calibri"/>
        </w:rPr>
        <w:t>; BR)?</w:t>
      </w:r>
    </w:p>
    <w:p w14:paraId="1EF1C06C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3B6FBBA9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 The concentration versus time graphs for oral meloxicam had secondary peaks in some animals, consistent with enterohepatic recycling</w:t>
      </w:r>
    </w:p>
    <w:p w14:paraId="487F26B9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 All BR trials had serum concentrations above values believed to be efficacious in horses for &gt;24 h after dosing oral meloxicam at 1.0 mg/kg</w:t>
      </w:r>
    </w:p>
    <w:p w14:paraId="50FD695D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C. Flunixin meglumine had near complete oral bioavailability in each trial, while the oral bioavailability of meloxicam was generally lower </w:t>
      </w:r>
    </w:p>
    <w:p w14:paraId="24BFECAE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D. Oral gabapentin had similar half-life values between all animals, whereas the half-lives of meloxicam and flunixin meglumine were more variable</w:t>
      </w:r>
    </w:p>
    <w:p w14:paraId="71E78528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E. Oral flunixin meglumine (1 mg/kg) pharmacokinetics in white rhinoceros have been reported, and the mean </w:t>
      </w:r>
      <w:proofErr w:type="spellStart"/>
      <w:r>
        <w:rPr>
          <w:rFonts w:ascii="Calibri" w:eastAsia="Calibri" w:hAnsi="Calibri" w:cs="Calibri"/>
        </w:rPr>
        <w:t>Cmax</w:t>
      </w:r>
      <w:proofErr w:type="spellEnd"/>
      <w:r>
        <w:rPr>
          <w:rFonts w:ascii="Calibri" w:eastAsia="Calibri" w:hAnsi="Calibri" w:cs="Calibri"/>
        </w:rPr>
        <w:t xml:space="preserve"> was lower than values measured in BR</w:t>
      </w:r>
    </w:p>
    <w:p w14:paraId="59EC4757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5879BF87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Answer: </w:t>
      </w:r>
      <w:r>
        <w:rPr>
          <w:rFonts w:ascii="Calibri" w:eastAsia="Calibri" w:hAnsi="Calibri" w:cs="Calibri"/>
        </w:rPr>
        <w:t xml:space="preserve">B </w:t>
      </w:r>
    </w:p>
    <w:p w14:paraId="51B57F99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3AECFD74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Explanation: </w:t>
      </w:r>
    </w:p>
    <w:p w14:paraId="30C4220F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Secondary peaks seen with FM in one animal. FM enterohepatic recycling has been reported in many species, including cattle (</w:t>
      </w:r>
      <w:r>
        <w:rPr>
          <w:rFonts w:ascii="Calibri" w:eastAsia="Calibri" w:hAnsi="Calibri" w:cs="Calibri"/>
          <w:i/>
        </w:rPr>
        <w:t>Bos taurus</w:t>
      </w:r>
      <w:r>
        <w:rPr>
          <w:rFonts w:ascii="Calibri" w:eastAsia="Calibri" w:hAnsi="Calibri" w:cs="Calibri"/>
        </w:rPr>
        <w:t>), goats (</w:t>
      </w:r>
      <w:r>
        <w:rPr>
          <w:rFonts w:ascii="Calibri" w:eastAsia="Calibri" w:hAnsi="Calibri" w:cs="Calibri"/>
          <w:i/>
        </w:rPr>
        <w:t xml:space="preserve">Capra </w:t>
      </w:r>
      <w:proofErr w:type="spellStart"/>
      <w:r>
        <w:rPr>
          <w:rFonts w:ascii="Calibri" w:eastAsia="Calibri" w:hAnsi="Calibri" w:cs="Calibri"/>
          <w:i/>
        </w:rPr>
        <w:t>hircus</w:t>
      </w:r>
      <w:proofErr w:type="spellEnd"/>
      <w:r>
        <w:rPr>
          <w:rFonts w:ascii="Calibri" w:eastAsia="Calibri" w:hAnsi="Calibri" w:cs="Calibri"/>
        </w:rPr>
        <w:t>), cats (</w:t>
      </w:r>
      <w:r>
        <w:rPr>
          <w:rFonts w:ascii="Calibri" w:eastAsia="Calibri" w:hAnsi="Calibri" w:cs="Calibri"/>
          <w:i/>
        </w:rPr>
        <w:t xml:space="preserve">Felis </w:t>
      </w:r>
      <w:proofErr w:type="spellStart"/>
      <w:r>
        <w:rPr>
          <w:rFonts w:ascii="Calibri" w:eastAsia="Calibri" w:hAnsi="Calibri" w:cs="Calibri"/>
          <w:i/>
        </w:rPr>
        <w:t>catus</w:t>
      </w:r>
      <w:proofErr w:type="spellEnd"/>
      <w:r>
        <w:rPr>
          <w:rFonts w:ascii="Calibri" w:eastAsia="Calibri" w:hAnsi="Calibri" w:cs="Calibri"/>
        </w:rPr>
        <w:t>), dromedary camels (</w:t>
      </w:r>
      <w:r>
        <w:rPr>
          <w:rFonts w:ascii="Calibri" w:eastAsia="Calibri" w:hAnsi="Calibri" w:cs="Calibri"/>
          <w:i/>
        </w:rPr>
        <w:t>Camelus dromedarius</w:t>
      </w:r>
      <w:r>
        <w:rPr>
          <w:rFonts w:ascii="Calibri" w:eastAsia="Calibri" w:hAnsi="Calibri" w:cs="Calibri"/>
        </w:rPr>
        <w:t>), WR, and Asian elephants (</w:t>
      </w:r>
      <w:r>
        <w:rPr>
          <w:rFonts w:ascii="Calibri" w:eastAsia="Calibri" w:hAnsi="Calibri" w:cs="Calibri"/>
          <w:i/>
        </w:rPr>
        <w:t>Elephas maximus</w:t>
      </w:r>
      <w:r>
        <w:rPr>
          <w:rFonts w:ascii="Calibri" w:eastAsia="Calibri" w:hAnsi="Calibri" w:cs="Calibri"/>
        </w:rPr>
        <w:t>)</w:t>
      </w:r>
    </w:p>
    <w:p w14:paraId="6F5B67E6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Meloxicam had near complete bioavailability in each trial, while flunixin meglumine was generally lower. </w:t>
      </w:r>
    </w:p>
    <w:p w14:paraId="20ADC337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-Oral meloxicam was noted with similar half-life values between all animals (range 9.22–14.52 h) tested, while oral gabapentin (range 10.25–24.85 h) and oral flunixin meglumine (range 3.9–14.9 h) had a larger range</w:t>
      </w:r>
    </w:p>
    <w:p w14:paraId="4526D4BF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-Oral FM (1 mg/kg) pharmacokinetics in WR have been reported, and the mean </w:t>
      </w:r>
      <w:proofErr w:type="spellStart"/>
      <w:r>
        <w:rPr>
          <w:rFonts w:ascii="Calibri" w:eastAsia="Calibri" w:hAnsi="Calibri" w:cs="Calibri"/>
        </w:rPr>
        <w:t>Cmax</w:t>
      </w:r>
      <w:proofErr w:type="spellEnd"/>
      <w:r>
        <w:rPr>
          <w:rFonts w:ascii="Calibri" w:eastAsia="Calibri" w:hAnsi="Calibri" w:cs="Calibri"/>
        </w:rPr>
        <w:t xml:space="preserve"> (1,207 ng/ mL) was greater than values measured in BR (171 to 655 ng/ mL)</w:t>
      </w:r>
    </w:p>
    <w:p w14:paraId="7DBC6CF6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40AD27CE" w14:textId="77777777" w:rsidR="001740F5" w:rsidRDefault="001740F5" w:rsidP="001740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Journal of Zoo and Wildlife Medicine, 54(2): 301-312, 2024. </w:t>
      </w:r>
    </w:p>
    <w:p w14:paraId="4DDCEF37" w14:textId="77777777" w:rsidR="001740F5" w:rsidRDefault="001740F5" w:rsidP="001740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GUT MICROBIOME DIVERSITY OF THREE RHINOCEROS SPECIES IN EUROPEAN ZOOS- </w:t>
      </w:r>
      <w:r>
        <w:rPr>
          <w:rFonts w:ascii="Calibri" w:eastAsia="Calibri" w:hAnsi="Calibri" w:cs="Calibri"/>
        </w:rPr>
        <w:t>reviewed by HSS</w:t>
      </w:r>
    </w:p>
    <w:p w14:paraId="2FD1E19B" w14:textId="77777777" w:rsidR="001740F5" w:rsidRDefault="001740F5" w:rsidP="001740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Roy M. van der </w:t>
      </w:r>
      <w:proofErr w:type="spellStart"/>
      <w:r>
        <w:rPr>
          <w:rFonts w:ascii="Calibri" w:eastAsia="Calibri" w:hAnsi="Calibri" w:cs="Calibri"/>
        </w:rPr>
        <w:t>Meijs</w:t>
      </w:r>
      <w:proofErr w:type="spellEnd"/>
      <w:r>
        <w:rPr>
          <w:rFonts w:ascii="Calibri" w:eastAsia="Calibri" w:hAnsi="Calibri" w:cs="Calibri"/>
        </w:rPr>
        <w:t xml:space="preserve">, Willem van Leeuwen, Casper </w:t>
      </w:r>
      <w:proofErr w:type="spellStart"/>
      <w:r>
        <w:rPr>
          <w:rFonts w:ascii="Calibri" w:eastAsia="Calibri" w:hAnsi="Calibri" w:cs="Calibri"/>
        </w:rPr>
        <w:t>Prins</w:t>
      </w:r>
      <w:proofErr w:type="spellEnd"/>
      <w:r>
        <w:rPr>
          <w:rFonts w:ascii="Calibri" w:eastAsia="Calibri" w:hAnsi="Calibri" w:cs="Calibri"/>
        </w:rPr>
        <w:t xml:space="preserve">, Floyd </w:t>
      </w:r>
      <w:proofErr w:type="spellStart"/>
      <w:r>
        <w:rPr>
          <w:rFonts w:ascii="Calibri" w:eastAsia="Calibri" w:hAnsi="Calibri" w:cs="Calibri"/>
        </w:rPr>
        <w:t>Wittink</w:t>
      </w:r>
      <w:proofErr w:type="spellEnd"/>
      <w:r>
        <w:rPr>
          <w:rFonts w:ascii="Calibri" w:eastAsia="Calibri" w:hAnsi="Calibri" w:cs="Calibri"/>
        </w:rPr>
        <w:t xml:space="preserve">, Walter </w:t>
      </w:r>
      <w:proofErr w:type="spellStart"/>
      <w:r>
        <w:rPr>
          <w:rFonts w:ascii="Calibri" w:eastAsia="Calibri" w:hAnsi="Calibri" w:cs="Calibri"/>
        </w:rPr>
        <w:t>Pirovano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Daniël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Duijsings</w:t>
      </w:r>
      <w:proofErr w:type="spellEnd"/>
      <w:r>
        <w:rPr>
          <w:rFonts w:ascii="Calibri" w:eastAsia="Calibri" w:hAnsi="Calibri" w:cs="Calibri"/>
        </w:rPr>
        <w:t xml:space="preserve">, Bartholomeus van den </w:t>
      </w:r>
      <w:proofErr w:type="spellStart"/>
      <w:r>
        <w:rPr>
          <w:rFonts w:ascii="Calibri" w:eastAsia="Calibri" w:hAnsi="Calibri" w:cs="Calibri"/>
        </w:rPr>
        <w:t>Bogert</w:t>
      </w:r>
      <w:proofErr w:type="spellEnd"/>
      <w:r>
        <w:rPr>
          <w:rFonts w:ascii="Calibri" w:eastAsia="Calibri" w:hAnsi="Calibri" w:cs="Calibri"/>
        </w:rPr>
        <w:t xml:space="preserve">, Linda G.R. Bruins-van </w:t>
      </w:r>
      <w:proofErr w:type="spellStart"/>
      <w:r>
        <w:rPr>
          <w:rFonts w:ascii="Calibri" w:eastAsia="Calibri" w:hAnsi="Calibri" w:cs="Calibri"/>
        </w:rPr>
        <w:t>Sonsbeek</w:t>
      </w:r>
      <w:proofErr w:type="spellEnd"/>
    </w:p>
    <w:p w14:paraId="21C8BBDF" w14:textId="77777777" w:rsidR="001740F5" w:rsidRDefault="001740F5" w:rsidP="001740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44ECC5FE" wp14:editId="4A7471F9">
            <wp:extent cx="2256367" cy="1448116"/>
            <wp:effectExtent l="0" t="0" r="0" b="0"/>
            <wp:docPr id="1" name="Picture 2" descr="A rhinoceros walking in the gr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rhinoceros walking in the grass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367" cy="1448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C1535" w14:textId="77777777" w:rsidR="001740F5" w:rsidRDefault="001740F5" w:rsidP="001740F5">
      <w:pPr>
        <w:rPr>
          <w:rFonts w:ascii="Calibri" w:eastAsia="Calibri" w:hAnsi="Calibri" w:cs="Calibri"/>
        </w:rPr>
      </w:pPr>
    </w:p>
    <w:p w14:paraId="122658C4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</w:t>
      </w:r>
    </w:p>
    <w:p w14:paraId="642807C1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6EBE6BED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Which of the following microbial phyla was most common in the gut microbiome of black rhinoceros, white rhinoceros, and greater one-horned rhinoceros?</w:t>
      </w:r>
    </w:p>
    <w:p w14:paraId="1A3F43C2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0817293F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 Bacteroidetes</w:t>
      </w:r>
    </w:p>
    <w:p w14:paraId="7B95F91A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B. </w:t>
      </w:r>
      <w:proofErr w:type="spellStart"/>
      <w:r>
        <w:rPr>
          <w:rFonts w:ascii="Calibri" w:eastAsia="Calibri" w:hAnsi="Calibri" w:cs="Calibri"/>
        </w:rPr>
        <w:t>Euryarchaeota</w:t>
      </w:r>
      <w:proofErr w:type="spellEnd"/>
    </w:p>
    <w:p w14:paraId="43824285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C. Firmicutes</w:t>
      </w:r>
    </w:p>
    <w:p w14:paraId="773ECDB1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D. </w:t>
      </w:r>
      <w:proofErr w:type="spellStart"/>
      <w:r>
        <w:rPr>
          <w:rFonts w:ascii="Calibri" w:eastAsia="Calibri" w:hAnsi="Calibri" w:cs="Calibri"/>
        </w:rPr>
        <w:t>Fibrobacteres</w:t>
      </w:r>
      <w:proofErr w:type="spellEnd"/>
    </w:p>
    <w:p w14:paraId="3F65F64A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E. Proteobacteria</w:t>
      </w:r>
    </w:p>
    <w:p w14:paraId="45A63971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14F6859C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5070782E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Answer: </w:t>
      </w:r>
      <w:r>
        <w:rPr>
          <w:rFonts w:ascii="Calibri" w:eastAsia="Calibri" w:hAnsi="Calibri" w:cs="Calibri"/>
        </w:rPr>
        <w:t>C</w:t>
      </w:r>
    </w:p>
    <w:p w14:paraId="05BF53A2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17F815F1" w14:textId="77777777" w:rsidR="001740F5" w:rsidRDefault="001740F5" w:rsidP="001740F5">
      <w:pPr>
        <w:pBdr>
          <w:bottom w:val="single" w:sz="12" w:space="1" w:color="000000"/>
        </w:pBdr>
        <w:spacing w:line="240" w:lineRule="auto"/>
      </w:pPr>
      <w:r>
        <w:rPr>
          <w:rFonts w:ascii="Calibri" w:eastAsia="Calibri" w:hAnsi="Calibri" w:cs="Calibri"/>
        </w:rPr>
        <w:lastRenderedPageBreak/>
        <w:t xml:space="preserve">Explanation: Taxonomic classification revealed that the mean relative profiles of all rhinoceros species were dominated by Firmicutes (46.8 ± 7.37%) and Bacteroidetes (26.9 ± 5.14%), with lower abundances of Spirochaetes (4.2 ± 2.15%), </w:t>
      </w:r>
      <w:proofErr w:type="spellStart"/>
      <w:r>
        <w:rPr>
          <w:rFonts w:ascii="Calibri" w:eastAsia="Calibri" w:hAnsi="Calibri" w:cs="Calibri"/>
        </w:rPr>
        <w:t>Fibrobacteres</w:t>
      </w:r>
      <w:proofErr w:type="spellEnd"/>
      <w:r>
        <w:rPr>
          <w:rFonts w:ascii="Calibri" w:eastAsia="Calibri" w:hAnsi="Calibri" w:cs="Calibri"/>
        </w:rPr>
        <w:t xml:space="preserve"> (3.5 ± 3.03%), Planctomycetes (2.3 ± 1.17%), Proteobacteria (1.3 ± 1.42%), and </w:t>
      </w:r>
      <w:proofErr w:type="spellStart"/>
      <w:r>
        <w:rPr>
          <w:rFonts w:ascii="Calibri" w:eastAsia="Calibri" w:hAnsi="Calibri" w:cs="Calibri"/>
        </w:rPr>
        <w:t>Euryarchaeota</w:t>
      </w:r>
      <w:proofErr w:type="spellEnd"/>
      <w:r>
        <w:rPr>
          <w:rFonts w:ascii="Calibri" w:eastAsia="Calibri" w:hAnsi="Calibri" w:cs="Calibri"/>
        </w:rPr>
        <w:t xml:space="preserve"> (1.1 ± 0.63%). </w:t>
      </w:r>
    </w:p>
    <w:p w14:paraId="236E78D9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601EDC72" w14:textId="77777777" w:rsidR="001740F5" w:rsidRDefault="001740F5" w:rsidP="001740F5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1D6A5957" w14:textId="77777777" w:rsidR="001740F5" w:rsidRDefault="001740F5" w:rsidP="001740F5">
      <w:pPr>
        <w:numPr>
          <w:ilvl w:val="0"/>
          <w:numId w:val="15"/>
        </w:numPr>
      </w:pPr>
      <w:r>
        <w:t>Which of the following is true about vesicular stomatitis?</w:t>
      </w:r>
    </w:p>
    <w:p w14:paraId="13F22B2F" w14:textId="77777777" w:rsidR="001740F5" w:rsidRDefault="001740F5" w:rsidP="001740F5">
      <w:pPr>
        <w:numPr>
          <w:ilvl w:val="1"/>
          <w:numId w:val="15"/>
        </w:numPr>
      </w:pPr>
      <w:r>
        <w:t>Reportable RNA virus, that is primary cutaneous and mucocutaneous</w:t>
      </w:r>
    </w:p>
    <w:p w14:paraId="4C6F75FA" w14:textId="77777777" w:rsidR="001740F5" w:rsidRDefault="001740F5" w:rsidP="001740F5">
      <w:pPr>
        <w:numPr>
          <w:ilvl w:val="1"/>
          <w:numId w:val="15"/>
        </w:numPr>
      </w:pPr>
      <w:r>
        <w:t>Reportable DNA virus, that is primary cutaneous and mucocutaneous</w:t>
      </w:r>
    </w:p>
    <w:p w14:paraId="6B0DD1BB" w14:textId="77777777" w:rsidR="001740F5" w:rsidRDefault="001740F5" w:rsidP="001740F5">
      <w:pPr>
        <w:numPr>
          <w:ilvl w:val="1"/>
          <w:numId w:val="15"/>
        </w:numPr>
      </w:pPr>
      <w:r>
        <w:t>Nonreportable RNA virus, that is primary cutaneous</w:t>
      </w:r>
    </w:p>
    <w:p w14:paraId="0C33F1F1" w14:textId="77777777" w:rsidR="001740F5" w:rsidRDefault="001740F5" w:rsidP="001740F5">
      <w:pPr>
        <w:numPr>
          <w:ilvl w:val="1"/>
          <w:numId w:val="15"/>
        </w:numPr>
      </w:pPr>
      <w:r>
        <w:t>Nonreportable DNA virus, that is primary cutaneous</w:t>
      </w:r>
    </w:p>
    <w:p w14:paraId="3FD55988" w14:textId="77777777" w:rsidR="001740F5" w:rsidRDefault="001740F5" w:rsidP="001740F5">
      <w:pPr>
        <w:numPr>
          <w:ilvl w:val="1"/>
          <w:numId w:val="15"/>
        </w:numPr>
      </w:pPr>
      <w:r>
        <w:t>Nonreportable RNA virus, that is primary mucocutaneous</w:t>
      </w:r>
    </w:p>
    <w:p w14:paraId="76D88BF9" w14:textId="77777777" w:rsidR="001740F5" w:rsidRDefault="001740F5" w:rsidP="001740F5"/>
    <w:p w14:paraId="6C7EB9EE" w14:textId="77777777" w:rsidR="001740F5" w:rsidRDefault="001740F5" w:rsidP="001740F5">
      <w:r>
        <w:t xml:space="preserve">Answer: A. RNA virus family </w:t>
      </w:r>
      <w:proofErr w:type="spellStart"/>
      <w:r>
        <w:t>Rhabdoviridae</w:t>
      </w:r>
      <w:proofErr w:type="spellEnd"/>
      <w:r>
        <w:t>, reportable due to similarity to FMD</w:t>
      </w:r>
    </w:p>
    <w:p w14:paraId="54AFBDA5" w14:textId="77777777" w:rsidR="001740F5" w:rsidRDefault="001740F5" w:rsidP="001740F5"/>
    <w:p w14:paraId="750B4937" w14:textId="77777777" w:rsidR="001740F5" w:rsidRDefault="001740F5" w:rsidP="001740F5"/>
    <w:p w14:paraId="4D04C0DC" w14:textId="77777777" w:rsidR="001740F5" w:rsidRDefault="001740F5" w:rsidP="001740F5">
      <w:r>
        <w:t>What are the differences between capillary zone electrophoresis and agarose gel electrophoresis?</w:t>
      </w:r>
    </w:p>
    <w:p w14:paraId="4A6797C1" w14:textId="77777777" w:rsidR="001740F5" w:rsidRDefault="001740F5" w:rsidP="001740F5"/>
    <w:p w14:paraId="0335AD2B" w14:textId="77777777" w:rsidR="001740F5" w:rsidRDefault="001740F5" w:rsidP="001740F5">
      <w:r>
        <w:t>Answer:</w:t>
      </w:r>
    </w:p>
    <w:p w14:paraId="3D410D3C" w14:textId="77777777" w:rsidR="001740F5" w:rsidRDefault="001740F5" w:rsidP="001740F5"/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740F5" w14:paraId="073A7B59" w14:textId="77777777" w:rsidTr="00E3545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57CA3" w14:textId="77777777" w:rsidR="001740F5" w:rsidRDefault="001740F5" w:rsidP="00E3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Capillary Zone Electrophoresis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B286B" w14:textId="77777777" w:rsidR="001740F5" w:rsidRDefault="001740F5" w:rsidP="00E3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Agarose Gel Electrophoresis</w:t>
            </w:r>
          </w:p>
        </w:tc>
      </w:tr>
      <w:tr w:rsidR="001740F5" w14:paraId="6425780F" w14:textId="77777777" w:rsidTr="00E3545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ABD27" w14:textId="77777777" w:rsidR="001740F5" w:rsidRDefault="001740F5" w:rsidP="00E3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Automated method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7675E" w14:textId="77777777" w:rsidR="001740F5" w:rsidRDefault="001740F5" w:rsidP="00E3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Semi-automated method</w:t>
            </w:r>
          </w:p>
        </w:tc>
      </w:tr>
      <w:tr w:rsidR="001740F5" w14:paraId="4274A31B" w14:textId="77777777" w:rsidTr="00E3545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BBB7B" w14:textId="77777777" w:rsidR="001740F5" w:rsidRDefault="001740F5" w:rsidP="00E3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Protein separated by high voltage in capillary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423F8" w14:textId="77777777" w:rsidR="001740F5" w:rsidRDefault="001740F5" w:rsidP="00E3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Protein separated by size/charge on gel</w:t>
            </w:r>
          </w:p>
        </w:tc>
      </w:tr>
      <w:tr w:rsidR="001740F5" w14:paraId="06237217" w14:textId="77777777" w:rsidTr="00E3545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21DA1" w14:textId="77777777" w:rsidR="001740F5" w:rsidRDefault="001740F5" w:rsidP="00E3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Fractions quantified by UV detector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7534C" w14:textId="77777777" w:rsidR="001740F5" w:rsidRDefault="001740F5" w:rsidP="00E354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Use protein binding dye</w:t>
            </w:r>
          </w:p>
        </w:tc>
      </w:tr>
    </w:tbl>
    <w:p w14:paraId="18DC89EA" w14:textId="77777777" w:rsidR="001740F5" w:rsidRDefault="001740F5" w:rsidP="001740F5"/>
    <w:p w14:paraId="6D99A527" w14:textId="3C5778CF" w:rsidR="001740F5" w:rsidRDefault="001740F5" w:rsidP="00BD257D"/>
    <w:p w14:paraId="7718E66D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Journal of Wildlife Diseases. 2022, 58(4): 735-745.</w:t>
      </w:r>
    </w:p>
    <w:p w14:paraId="114CD7D1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b/>
          <w:bCs/>
          <w:color w:val="000000" w:themeColor="text1"/>
        </w:rPr>
        <w:t>EFFECT OF BOMA CONFINEMENT ON HEMATOLOGIC AND BIOCHEMICAL VALUES IN FREE-RANGING WHITE RHINOCEROS (CERATOTHERIUM SIMUM) IN KRUGER NATIONAL PARK, SOUTH AFRICA</w:t>
      </w:r>
      <w:r>
        <w:br/>
      </w:r>
    </w:p>
    <w:p w14:paraId="4C002CD7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Laura Martinelli</w:t>
      </w:r>
    </w:p>
    <w:p w14:paraId="3DC50B9F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</w:p>
    <w:p w14:paraId="4B5BB298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Question: What is a significant indicator of maladaptation to boma confinement for the White Rhinoceros?</w:t>
      </w:r>
    </w:p>
    <w:p w14:paraId="17DF5746" w14:textId="77777777" w:rsidR="00E507D2" w:rsidRDefault="00E507D2" w:rsidP="00E507D2">
      <w:pPr>
        <w:pStyle w:val="ListParagraph"/>
        <w:numPr>
          <w:ilvl w:val="0"/>
          <w:numId w:val="17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Non-regenerative anemia</w:t>
      </w:r>
    </w:p>
    <w:p w14:paraId="6E23DB0A" w14:textId="77777777" w:rsidR="00E507D2" w:rsidRDefault="00E507D2" w:rsidP="00E507D2">
      <w:pPr>
        <w:pStyle w:val="ListParagraph"/>
        <w:numPr>
          <w:ilvl w:val="0"/>
          <w:numId w:val="17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Marked weight loss</w:t>
      </w:r>
    </w:p>
    <w:p w14:paraId="7096FAD4" w14:textId="77777777" w:rsidR="00E507D2" w:rsidRDefault="00E507D2" w:rsidP="00E507D2">
      <w:pPr>
        <w:pStyle w:val="ListParagraph"/>
        <w:numPr>
          <w:ilvl w:val="0"/>
          <w:numId w:val="17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Longer length of stay</w:t>
      </w:r>
    </w:p>
    <w:p w14:paraId="6B217BF1" w14:textId="77777777" w:rsidR="00E507D2" w:rsidRDefault="00E507D2" w:rsidP="00E507D2">
      <w:pPr>
        <w:pStyle w:val="ListParagraph"/>
        <w:numPr>
          <w:ilvl w:val="0"/>
          <w:numId w:val="17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Increased eosinophils</w:t>
      </w:r>
    </w:p>
    <w:p w14:paraId="7E9CC029" w14:textId="77777777" w:rsidR="00E507D2" w:rsidRDefault="00E507D2" w:rsidP="00E507D2">
      <w:pPr>
        <w:pStyle w:val="ListParagraph"/>
        <w:numPr>
          <w:ilvl w:val="0"/>
          <w:numId w:val="17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Elevated AST</w:t>
      </w:r>
    </w:p>
    <w:p w14:paraId="5E84EF96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</w:p>
    <w:p w14:paraId="2CE82FBA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lastRenderedPageBreak/>
        <w:t>Answer: B</w:t>
      </w:r>
    </w:p>
    <w:p w14:paraId="627BAB11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------------------------------------------------------------------------------------------------------------------------------------------</w:t>
      </w:r>
    </w:p>
    <w:p w14:paraId="3D5E835E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Journal of Wildlife Diseases. 2024, 60(2): 388-400.</w:t>
      </w:r>
    </w:p>
    <w:p w14:paraId="6DE27EF8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b/>
          <w:bCs/>
          <w:color w:val="000000" w:themeColor="text1"/>
        </w:rPr>
        <w:t>EFFECTS OF BUTORPHANOL ON RESPIRATION IN WHITE RHINOCEROS (CERATOTHERIUM SIMUM) IMMOBILIZED WITH ETORPHINE-AZAPERONE</w:t>
      </w:r>
      <w:r>
        <w:br/>
      </w:r>
    </w:p>
    <w:p w14:paraId="252DD76C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Laura Martinelli</w:t>
      </w:r>
    </w:p>
    <w:p w14:paraId="6AAE104A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</w:p>
    <w:p w14:paraId="32B3E0B8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Question: In a study of White Rhinoceros immobilized with etorphine-azaperone, the addition of butorphanol IV 2 minutes after induction produced what clinically relevant, beneficial change?</w:t>
      </w:r>
    </w:p>
    <w:p w14:paraId="39C0B3A8" w14:textId="77777777" w:rsidR="00E507D2" w:rsidRDefault="00E507D2" w:rsidP="00E507D2">
      <w:pPr>
        <w:pStyle w:val="ListParagraph"/>
        <w:numPr>
          <w:ilvl w:val="0"/>
          <w:numId w:val="16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Increased arterial partial pressure of oxygen</w:t>
      </w:r>
    </w:p>
    <w:p w14:paraId="30B91271" w14:textId="77777777" w:rsidR="00E507D2" w:rsidRDefault="00E507D2" w:rsidP="00E507D2">
      <w:pPr>
        <w:pStyle w:val="ListParagraph"/>
        <w:numPr>
          <w:ilvl w:val="0"/>
          <w:numId w:val="16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Increased arterial partial pressure of carbon dioxide</w:t>
      </w:r>
    </w:p>
    <w:p w14:paraId="47054DCB" w14:textId="77777777" w:rsidR="00E507D2" w:rsidRDefault="00E507D2" w:rsidP="00E507D2">
      <w:pPr>
        <w:pStyle w:val="ListParagraph"/>
        <w:numPr>
          <w:ilvl w:val="0"/>
          <w:numId w:val="16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Increased tidal volume</w:t>
      </w:r>
    </w:p>
    <w:p w14:paraId="31864F4C" w14:textId="77777777" w:rsidR="00E507D2" w:rsidRDefault="00E507D2" w:rsidP="00E507D2">
      <w:pPr>
        <w:pStyle w:val="ListParagraph"/>
        <w:numPr>
          <w:ilvl w:val="0"/>
          <w:numId w:val="16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Increased oxygen consumption</w:t>
      </w:r>
    </w:p>
    <w:p w14:paraId="089CD554" w14:textId="77777777" w:rsidR="00E507D2" w:rsidRDefault="00E507D2" w:rsidP="00E507D2">
      <w:pPr>
        <w:pStyle w:val="ListParagraph"/>
        <w:numPr>
          <w:ilvl w:val="0"/>
          <w:numId w:val="16"/>
        </w:numPr>
        <w:spacing w:line="279" w:lineRule="auto"/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Increased alveolar to arterial oxygen gradient</w:t>
      </w:r>
    </w:p>
    <w:p w14:paraId="03B0AC45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</w:p>
    <w:p w14:paraId="2BCD81C0" w14:textId="77777777" w:rsidR="00E507D2" w:rsidRDefault="00E507D2" w:rsidP="00E507D2">
      <w:pPr>
        <w:rPr>
          <w:rFonts w:ascii="Calibri" w:eastAsia="Calibri" w:hAnsi="Calibri" w:cs="Calibri"/>
          <w:color w:val="000000" w:themeColor="text1"/>
        </w:rPr>
      </w:pPr>
      <w:r w:rsidRPr="4E2C174D">
        <w:rPr>
          <w:rFonts w:ascii="Calibri" w:eastAsia="Calibri" w:hAnsi="Calibri" w:cs="Calibri"/>
          <w:color w:val="000000" w:themeColor="text1"/>
        </w:rPr>
        <w:t>Answer: A</w:t>
      </w:r>
    </w:p>
    <w:p w14:paraId="02C267E8" w14:textId="1E105496" w:rsidR="00E507D2" w:rsidRDefault="00E507D2" w:rsidP="00BD257D"/>
    <w:p w14:paraId="05BF3A49" w14:textId="77777777" w:rsidR="00E507D2" w:rsidRDefault="00E507D2" w:rsidP="00E507D2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Journal of Zoo and Wildlife Medicine 53(1): 141–152, 2022 </w:t>
      </w:r>
    </w:p>
    <w:p w14:paraId="142BB480" w14:textId="77777777" w:rsidR="00E507D2" w:rsidRDefault="00E507D2" w:rsidP="00E507D2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Summarized by MR</w:t>
      </w:r>
    </w:p>
    <w:p w14:paraId="6BB84BE5" w14:textId="77777777" w:rsidR="00E507D2" w:rsidRDefault="00E507D2" w:rsidP="00E507D2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8446F47" w14:textId="77777777" w:rsidR="00E507D2" w:rsidRDefault="00E507D2" w:rsidP="00E507D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DEVELOPMENT OF A QUANTITATIVE IMMUNOASSAY FOR SERUM HAPTOGLOBIN AS A PUTATIVE DISEASE MARKER IN THE SOUTHERN WHITE RHINOCEROS (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CERATOTHERIUM SIMUM SIMUM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14:paraId="146DBD9A" w14:textId="77777777" w:rsidR="00E507D2" w:rsidRDefault="00E507D2" w:rsidP="00E507D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Henrik H. Petersen, DVM, PhD,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Rikke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Stenbak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DVM, Camilla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Blaabjerg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DVM, Anne K.H. Krogh, DVM, PhD, Mads F.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Bertelsen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DVM,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DVSc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Dipl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ACZM,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Dipl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ECZM (ZHM), Peter Buss, BVSc,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MMedVet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(Fer), PhD, and Peter M.H. Heegaard, MSc, PhD </w:t>
      </w:r>
    </w:p>
    <w:p w14:paraId="510F895F" w14:textId="77777777" w:rsidR="00E507D2" w:rsidRDefault="00E507D2" w:rsidP="00E507D2"/>
    <w:p w14:paraId="5C15E5D7" w14:textId="77777777" w:rsidR="00E507D2" w:rsidRDefault="00E507D2" w:rsidP="00E507D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Question</w:t>
      </w:r>
      <w:r>
        <w:rPr>
          <w:rFonts w:ascii="Times New Roman" w:eastAsia="Times New Roman" w:hAnsi="Times New Roman" w:cs="Times New Roman"/>
        </w:rPr>
        <w:t>: Which of the following has demonstrated to be a negative acute phase protein in the white rhinoceros (</w:t>
      </w:r>
      <w:proofErr w:type="spellStart"/>
      <w:r>
        <w:rPr>
          <w:rFonts w:ascii="Times New Roman" w:eastAsia="Times New Roman" w:hAnsi="Times New Roman" w:cs="Times New Roman"/>
          <w:i/>
        </w:rPr>
        <w:t>Ceratotherium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simum</w:t>
      </w:r>
      <w:proofErr w:type="spellEnd"/>
      <w:r>
        <w:rPr>
          <w:rFonts w:ascii="Times New Roman" w:eastAsia="Times New Roman" w:hAnsi="Times New Roman" w:cs="Times New Roman"/>
        </w:rPr>
        <w:t>)?</w:t>
      </w:r>
    </w:p>
    <w:p w14:paraId="4F1F4B43" w14:textId="77777777" w:rsidR="00E507D2" w:rsidRDefault="00E507D2" w:rsidP="00E507D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Serum haptoglobin</w:t>
      </w:r>
    </w:p>
    <w:p w14:paraId="7E97213A" w14:textId="77777777" w:rsidR="00E507D2" w:rsidRDefault="00E507D2" w:rsidP="00E507D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Serum iron</w:t>
      </w:r>
    </w:p>
    <w:p w14:paraId="06E2B0C0" w14:textId="77777777" w:rsidR="00E507D2" w:rsidRDefault="00E507D2" w:rsidP="00E507D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Serum amyloid A</w:t>
      </w:r>
    </w:p>
    <w:p w14:paraId="41A360D6" w14:textId="77777777" w:rsidR="00E507D2" w:rsidRDefault="00E507D2" w:rsidP="00E507D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Serum Alpha1</w:t>
      </w:r>
    </w:p>
    <w:p w14:paraId="33C6B63A" w14:textId="77777777" w:rsidR="00E507D2" w:rsidRDefault="00E507D2" w:rsidP="00E507D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Serum Beta2</w:t>
      </w:r>
    </w:p>
    <w:p w14:paraId="6949A9A8" w14:textId="77777777" w:rsidR="00E507D2" w:rsidRDefault="00E507D2" w:rsidP="00E507D2"/>
    <w:p w14:paraId="49FE8306" w14:textId="77777777" w:rsidR="00E507D2" w:rsidRDefault="00E507D2" w:rsidP="00E507D2">
      <w:pPr>
        <w:rPr>
          <w:rFonts w:ascii="Times New Roman" w:eastAsia="Times New Roman" w:hAnsi="Times New Roman" w:cs="Times New Roman"/>
        </w:rPr>
      </w:pPr>
      <w:r w:rsidRPr="00162E08">
        <w:rPr>
          <w:rFonts w:ascii="Times New Roman" w:eastAsia="Times New Roman" w:hAnsi="Times New Roman" w:cs="Times New Roman"/>
          <w:b/>
        </w:rPr>
        <w:t>Answer</w:t>
      </w:r>
      <w:r w:rsidRPr="00162E08">
        <w:rPr>
          <w:rFonts w:ascii="Times New Roman" w:eastAsia="Times New Roman" w:hAnsi="Times New Roman" w:cs="Times New Roman"/>
        </w:rPr>
        <w:t xml:space="preserve">: B. Serum iron – haptoglobin and EPH fractions increase with inflammation, whereas serum iron decreases with inflammation. Serum amyloid A is a positive APP </w:t>
      </w:r>
      <w:r>
        <w:rPr>
          <w:rFonts w:ascii="Times New Roman" w:eastAsia="Times New Roman" w:hAnsi="Times New Roman" w:cs="Times New Roman"/>
        </w:rPr>
        <w:t>for both black and white rhinos. (See CZE pub from JZWM 2022 - Souza).</w:t>
      </w:r>
    </w:p>
    <w:p w14:paraId="43F553B9" w14:textId="77777777" w:rsidR="00E507D2" w:rsidRDefault="00E507D2" w:rsidP="00E507D2"/>
    <w:p w14:paraId="3599B22E" w14:textId="77777777" w:rsidR="00E507D2" w:rsidRDefault="00E507D2" w:rsidP="00E507D2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Journal of Zoo and Wildlife Medicine 53 (2), 485-491 (2022)</w:t>
      </w:r>
    </w:p>
    <w:p w14:paraId="64555D9C" w14:textId="77777777" w:rsidR="00E507D2" w:rsidRDefault="00E507D2" w:rsidP="00E507D2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Summarized by MR</w:t>
      </w:r>
    </w:p>
    <w:p w14:paraId="39F50DC7" w14:textId="77777777" w:rsidR="00E507D2" w:rsidRDefault="00E507D2" w:rsidP="00E507D2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91E588C" w14:textId="77777777" w:rsidR="00E507D2" w:rsidRDefault="00E507D2" w:rsidP="00E507D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C2BA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THE USE OF INTRADERMAL SKIN TESTING AND HYPOSENSITIZATION INJECTIONS TO CONTROL SEASONAL DERMATITIS IN GREATER ONE-HORNED RHINOCEROSES (RHINOCEROS UNICORNIS)</w:t>
      </w:r>
    </w:p>
    <w:p w14:paraId="6C37B0BF" w14:textId="77777777" w:rsidR="00E507D2" w:rsidRPr="008B0B58" w:rsidRDefault="00E507D2" w:rsidP="00E507D2">
      <w:pPr>
        <w:rPr>
          <w:rFonts w:ascii="Times New Roman" w:eastAsia="Times New Roman" w:hAnsi="Times New Roman" w:cs="Times New Roman"/>
          <w:sz w:val="20"/>
          <w:szCs w:val="20"/>
        </w:rPr>
      </w:pPr>
      <w:r w:rsidRPr="002C2BAA">
        <w:rPr>
          <w:rFonts w:ascii="Times New Roman" w:eastAsia="Times New Roman" w:hAnsi="Times New Roman" w:cs="Times New Roman"/>
          <w:sz w:val="20"/>
          <w:szCs w:val="20"/>
        </w:rPr>
        <w:t xml:space="preserve">Sarah B. Chaney, DVM, PhD, DACVP, Melissa </w:t>
      </w:r>
      <w:proofErr w:type="spellStart"/>
      <w:r w:rsidRPr="002C2BAA">
        <w:rPr>
          <w:rFonts w:ascii="Times New Roman" w:eastAsia="Times New Roman" w:hAnsi="Times New Roman" w:cs="Times New Roman"/>
          <w:sz w:val="20"/>
          <w:szCs w:val="20"/>
        </w:rPr>
        <w:t>Loewinger</w:t>
      </w:r>
      <w:proofErr w:type="spellEnd"/>
      <w:r w:rsidRPr="002C2BAA">
        <w:rPr>
          <w:rFonts w:ascii="Times New Roman" w:eastAsia="Times New Roman" w:hAnsi="Times New Roman" w:cs="Times New Roman"/>
          <w:sz w:val="20"/>
          <w:szCs w:val="20"/>
        </w:rPr>
        <w:t xml:space="preserve">, DVM, Donna Doherty, Colleen M. McCann, PhD, Kenneth J. Conley, DVM, DACVP, Denise </w:t>
      </w:r>
      <w:proofErr w:type="spellStart"/>
      <w:r w:rsidRPr="002C2BAA">
        <w:rPr>
          <w:rFonts w:ascii="Times New Roman" w:eastAsia="Times New Roman" w:hAnsi="Times New Roman" w:cs="Times New Roman"/>
          <w:sz w:val="20"/>
          <w:szCs w:val="20"/>
        </w:rPr>
        <w:t>McAloose</w:t>
      </w:r>
      <w:proofErr w:type="spellEnd"/>
      <w:r w:rsidRPr="002C2BAA">
        <w:rPr>
          <w:rFonts w:ascii="Times New Roman" w:eastAsia="Times New Roman" w:hAnsi="Times New Roman" w:cs="Times New Roman"/>
          <w:sz w:val="20"/>
          <w:szCs w:val="20"/>
        </w:rPr>
        <w:t>, VMD, DACVP, Andrew Rosenberg, DVM, DACVD, and John M. Sykes IV, DVM, DACZM</w:t>
      </w:r>
    </w:p>
    <w:p w14:paraId="2F8490F0" w14:textId="77777777" w:rsidR="00E507D2" w:rsidRDefault="00E507D2" w:rsidP="00E507D2"/>
    <w:p w14:paraId="0BB92347" w14:textId="77777777" w:rsidR="00E507D2" w:rsidRDefault="00E507D2" w:rsidP="00E507D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Question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>Which of the following is true regarding seasonal allergies in greater one-horned rhinoceroses (</w:t>
      </w:r>
      <w:r w:rsidRPr="00805510">
        <w:rPr>
          <w:rFonts w:ascii="Times New Roman" w:eastAsia="Times New Roman" w:hAnsi="Times New Roman" w:cs="Times New Roman"/>
          <w:i/>
          <w:iCs/>
          <w:color w:val="000000"/>
        </w:rPr>
        <w:t xml:space="preserve">Rhinoceros </w:t>
      </w:r>
      <w:proofErr w:type="spellStart"/>
      <w:r w:rsidRPr="00805510">
        <w:rPr>
          <w:rFonts w:ascii="Times New Roman" w:eastAsia="Times New Roman" w:hAnsi="Times New Roman" w:cs="Times New Roman"/>
          <w:i/>
          <w:iCs/>
          <w:color w:val="000000"/>
        </w:rPr>
        <w:t>unicornis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)?  </w:t>
      </w:r>
    </w:p>
    <w:p w14:paraId="588B1755" w14:textId="77777777" w:rsidR="00E507D2" w:rsidRDefault="00E507D2" w:rsidP="00E507D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use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hyposensitization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treatments can be performed successfully in greater one-horned rhinoceroses experiencing seasonal allergic dermatitis following intradermal skin testing. </w:t>
      </w:r>
    </w:p>
    <w:p w14:paraId="6B0B0F16" w14:textId="77777777" w:rsidR="00E507D2" w:rsidRDefault="00E507D2" w:rsidP="00E507D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use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serum titers is the gold standard for allergen testing in greater one-horned rhinoceroses.  </w:t>
      </w:r>
    </w:p>
    <w:p w14:paraId="224EBED2" w14:textId="77777777" w:rsidR="00E507D2" w:rsidRDefault="00E507D2" w:rsidP="00E507D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Lesions associated with allergic dermatitis in greater one-horned rhinoceroses involves erythema and ulceration of the skin localized over the dorsum and rump. </w:t>
      </w:r>
    </w:p>
    <w:p w14:paraId="41FB53A2" w14:textId="77777777" w:rsidR="00E507D2" w:rsidRDefault="00E507D2" w:rsidP="00E507D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Intradermal skin testing cannot be performed in greater one-horned rhinoceroses due to their thick skin. </w:t>
      </w:r>
    </w:p>
    <w:p w14:paraId="61C4436B" w14:textId="77777777" w:rsidR="00E507D2" w:rsidRDefault="00E507D2" w:rsidP="00E507D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use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hyposensitization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treatments can be performed successfully in greater one-horned rhinoceroses experiencing seasonal allergic dermatitis following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serum testing. </w:t>
      </w:r>
    </w:p>
    <w:p w14:paraId="415B4A58" w14:textId="77777777" w:rsidR="00E507D2" w:rsidRDefault="00E507D2" w:rsidP="00E507D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63FF014" w14:textId="77777777" w:rsidR="00E507D2" w:rsidRPr="008B0B58" w:rsidRDefault="00E507D2" w:rsidP="00E507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3F1E8F">
        <w:rPr>
          <w:rFonts w:ascii="Times New Roman" w:eastAsia="Times New Roman" w:hAnsi="Times New Roman" w:cs="Times New Roman"/>
          <w:color w:val="000000"/>
        </w:rPr>
        <w:t>Answer: A</w:t>
      </w:r>
      <w:r>
        <w:rPr>
          <w:rFonts w:ascii="Times New Roman" w:eastAsia="Times New Roman" w:hAnsi="Times New Roman" w:cs="Times New Roman"/>
          <w:color w:val="000000"/>
        </w:rPr>
        <w:t xml:space="preserve">. The use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hyposensitization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treatments can be performed successfully in greater one-horned rhinoceroses experiencing seasonal allergic dermatitis following intradermal skin testing. </w:t>
      </w:r>
    </w:p>
    <w:p w14:paraId="7389BA5B" w14:textId="77777777" w:rsidR="00E507D2" w:rsidRPr="00BD257D" w:rsidRDefault="00E507D2" w:rsidP="00BD257D"/>
    <w:sectPr w:rsidR="00E507D2" w:rsidRPr="00BD25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81F2F" w14:textId="77777777" w:rsidR="00C546F0" w:rsidRDefault="00C546F0" w:rsidP="002C352E">
      <w:pPr>
        <w:spacing w:line="240" w:lineRule="auto"/>
      </w:pPr>
      <w:r>
        <w:separator/>
      </w:r>
    </w:p>
  </w:endnote>
  <w:endnote w:type="continuationSeparator" w:id="0">
    <w:p w14:paraId="4317C3F1" w14:textId="77777777" w:rsidR="00C546F0" w:rsidRDefault="00C546F0" w:rsidP="002C3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1AFFC3-2FF2-8643-82E6-0603070E2E83}"/>
    <w:embedBold r:id="rId2" w:fontKey="{02FFADDD-1ADF-FC49-83B4-84EAE3BF35BB}"/>
    <w:embedItalic r:id="rId3" w:fontKey="{DD07865F-9FA2-E74A-BF3A-E88650C90114}"/>
    <w:embedBoldItalic r:id="rId4" w:fontKey="{4A14151D-350F-8B41-BED6-AECFAD9052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8A991EC-B613-4B41-90FE-E1BC703CD5B6}"/>
    <w:embedBold r:id="rId6" w:fontKey="{141F0753-63B7-7942-B70E-45B662B25E02}"/>
    <w:embedItalic r:id="rId7" w:fontKey="{71CD5C90-F85A-0648-A502-E2FB6FA1EF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A5BA59F-19D5-A447-AC67-2B7CDDDECB19}"/>
    <w:embedBold r:id="rId9" w:fontKey="{32B5312C-3DB5-3F4E-95A2-093279ADBFDA}"/>
    <w:embedItalic r:id="rId10" w:fontKey="{031EB795-6BB6-0749-9AAF-DF1569B1F186}"/>
    <w:embedBoldItalic r:id="rId11" w:fontKey="{F9523BBE-924D-6348-AF01-543EF9A026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962FB4A-2A13-8044-A8FB-4E6ABAA49D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A9CC8" w14:textId="77777777" w:rsidR="002C352E" w:rsidRDefault="002C35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A4AB0" w14:textId="77777777" w:rsidR="002C352E" w:rsidRDefault="002C35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01C1" w14:textId="77777777" w:rsidR="002C352E" w:rsidRDefault="002C35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055F5" w14:textId="77777777" w:rsidR="00C546F0" w:rsidRDefault="00C546F0" w:rsidP="002C352E">
      <w:pPr>
        <w:spacing w:line="240" w:lineRule="auto"/>
      </w:pPr>
      <w:r>
        <w:separator/>
      </w:r>
    </w:p>
  </w:footnote>
  <w:footnote w:type="continuationSeparator" w:id="0">
    <w:p w14:paraId="7A121DEE" w14:textId="77777777" w:rsidR="00C546F0" w:rsidRDefault="00C546F0" w:rsidP="002C3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10989" w14:textId="77777777" w:rsidR="002C352E" w:rsidRDefault="002C35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518D4" w14:textId="77777777" w:rsidR="002C352E" w:rsidRDefault="002C35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786AF" w14:textId="77777777" w:rsidR="002C352E" w:rsidRDefault="002C3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E0F93"/>
    <w:multiLevelType w:val="hybridMultilevel"/>
    <w:tmpl w:val="5CD26E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A3999"/>
    <w:multiLevelType w:val="multilevel"/>
    <w:tmpl w:val="D6D6851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B54AC"/>
    <w:multiLevelType w:val="multilevel"/>
    <w:tmpl w:val="3F122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8058C9"/>
    <w:multiLevelType w:val="hybridMultilevel"/>
    <w:tmpl w:val="B5A40D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563D3D"/>
    <w:multiLevelType w:val="multilevel"/>
    <w:tmpl w:val="29341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282924"/>
    <w:multiLevelType w:val="multilevel"/>
    <w:tmpl w:val="1EE6C5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E268BC"/>
    <w:multiLevelType w:val="multilevel"/>
    <w:tmpl w:val="7D522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576943"/>
    <w:multiLevelType w:val="multilevel"/>
    <w:tmpl w:val="0E0E83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B54BC5"/>
    <w:multiLevelType w:val="hybridMultilevel"/>
    <w:tmpl w:val="739819E4"/>
    <w:lvl w:ilvl="0" w:tplc="AD1E0E16">
      <w:start w:val="1"/>
      <w:numFmt w:val="upperLetter"/>
      <w:lvlText w:val="%1."/>
      <w:lvlJc w:val="left"/>
      <w:pPr>
        <w:ind w:left="720" w:hanging="360"/>
      </w:pPr>
    </w:lvl>
    <w:lvl w:ilvl="1" w:tplc="C2548766">
      <w:start w:val="1"/>
      <w:numFmt w:val="lowerLetter"/>
      <w:lvlText w:val="%2."/>
      <w:lvlJc w:val="left"/>
      <w:pPr>
        <w:ind w:left="1440" w:hanging="360"/>
      </w:pPr>
    </w:lvl>
    <w:lvl w:ilvl="2" w:tplc="F774DF50">
      <w:start w:val="1"/>
      <w:numFmt w:val="lowerRoman"/>
      <w:lvlText w:val="%3."/>
      <w:lvlJc w:val="right"/>
      <w:pPr>
        <w:ind w:left="2160" w:hanging="180"/>
      </w:pPr>
    </w:lvl>
    <w:lvl w:ilvl="3" w:tplc="AC1AE18C">
      <w:start w:val="1"/>
      <w:numFmt w:val="decimal"/>
      <w:lvlText w:val="%4."/>
      <w:lvlJc w:val="left"/>
      <w:pPr>
        <w:ind w:left="2880" w:hanging="360"/>
      </w:pPr>
    </w:lvl>
    <w:lvl w:ilvl="4" w:tplc="79D2E3C0">
      <w:start w:val="1"/>
      <w:numFmt w:val="lowerLetter"/>
      <w:lvlText w:val="%5."/>
      <w:lvlJc w:val="left"/>
      <w:pPr>
        <w:ind w:left="3600" w:hanging="360"/>
      </w:pPr>
    </w:lvl>
    <w:lvl w:ilvl="5" w:tplc="C13EDED4">
      <w:start w:val="1"/>
      <w:numFmt w:val="lowerRoman"/>
      <w:lvlText w:val="%6."/>
      <w:lvlJc w:val="right"/>
      <w:pPr>
        <w:ind w:left="4320" w:hanging="180"/>
      </w:pPr>
    </w:lvl>
    <w:lvl w:ilvl="6" w:tplc="E4EE224C">
      <w:start w:val="1"/>
      <w:numFmt w:val="decimal"/>
      <w:lvlText w:val="%7."/>
      <w:lvlJc w:val="left"/>
      <w:pPr>
        <w:ind w:left="5040" w:hanging="360"/>
      </w:pPr>
    </w:lvl>
    <w:lvl w:ilvl="7" w:tplc="240AEBEC">
      <w:start w:val="1"/>
      <w:numFmt w:val="lowerLetter"/>
      <w:lvlText w:val="%8."/>
      <w:lvlJc w:val="left"/>
      <w:pPr>
        <w:ind w:left="5760" w:hanging="360"/>
      </w:pPr>
    </w:lvl>
    <w:lvl w:ilvl="8" w:tplc="6C8E1CF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C9FF2"/>
    <w:multiLevelType w:val="hybridMultilevel"/>
    <w:tmpl w:val="86A6F724"/>
    <w:lvl w:ilvl="0" w:tplc="A60CC97A">
      <w:start w:val="1"/>
      <w:numFmt w:val="upperLetter"/>
      <w:lvlText w:val="%1."/>
      <w:lvlJc w:val="left"/>
      <w:pPr>
        <w:ind w:left="720" w:hanging="360"/>
      </w:pPr>
    </w:lvl>
    <w:lvl w:ilvl="1" w:tplc="F99C6E7A">
      <w:start w:val="1"/>
      <w:numFmt w:val="lowerLetter"/>
      <w:lvlText w:val="%2."/>
      <w:lvlJc w:val="left"/>
      <w:pPr>
        <w:ind w:left="1440" w:hanging="360"/>
      </w:pPr>
    </w:lvl>
    <w:lvl w:ilvl="2" w:tplc="CD6E8236">
      <w:start w:val="1"/>
      <w:numFmt w:val="lowerRoman"/>
      <w:lvlText w:val="%3."/>
      <w:lvlJc w:val="right"/>
      <w:pPr>
        <w:ind w:left="2160" w:hanging="180"/>
      </w:pPr>
    </w:lvl>
    <w:lvl w:ilvl="3" w:tplc="B8A4E772">
      <w:start w:val="1"/>
      <w:numFmt w:val="decimal"/>
      <w:lvlText w:val="%4."/>
      <w:lvlJc w:val="left"/>
      <w:pPr>
        <w:ind w:left="2880" w:hanging="360"/>
      </w:pPr>
    </w:lvl>
    <w:lvl w:ilvl="4" w:tplc="C542EF3E">
      <w:start w:val="1"/>
      <w:numFmt w:val="lowerLetter"/>
      <w:lvlText w:val="%5."/>
      <w:lvlJc w:val="left"/>
      <w:pPr>
        <w:ind w:left="3600" w:hanging="360"/>
      </w:pPr>
    </w:lvl>
    <w:lvl w:ilvl="5" w:tplc="AD52CEB6">
      <w:start w:val="1"/>
      <w:numFmt w:val="lowerRoman"/>
      <w:lvlText w:val="%6."/>
      <w:lvlJc w:val="right"/>
      <w:pPr>
        <w:ind w:left="4320" w:hanging="180"/>
      </w:pPr>
    </w:lvl>
    <w:lvl w:ilvl="6" w:tplc="D37E093E">
      <w:start w:val="1"/>
      <w:numFmt w:val="decimal"/>
      <w:lvlText w:val="%7."/>
      <w:lvlJc w:val="left"/>
      <w:pPr>
        <w:ind w:left="5040" w:hanging="360"/>
      </w:pPr>
    </w:lvl>
    <w:lvl w:ilvl="7" w:tplc="ED8A80D6">
      <w:start w:val="1"/>
      <w:numFmt w:val="lowerLetter"/>
      <w:lvlText w:val="%8."/>
      <w:lvlJc w:val="left"/>
      <w:pPr>
        <w:ind w:left="5760" w:hanging="360"/>
      </w:pPr>
    </w:lvl>
    <w:lvl w:ilvl="8" w:tplc="0E38BB1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62FE5"/>
    <w:multiLevelType w:val="multilevel"/>
    <w:tmpl w:val="296ED4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175091">
    <w:abstractNumId w:val="6"/>
  </w:num>
  <w:num w:numId="2" w16cid:durableId="1563830226">
    <w:abstractNumId w:val="7"/>
  </w:num>
  <w:num w:numId="3" w16cid:durableId="798375633">
    <w:abstractNumId w:val="2"/>
    <w:lvlOverride w:ilvl="0">
      <w:lvl w:ilvl="0">
        <w:numFmt w:val="upperLetter"/>
        <w:lvlText w:val="%1."/>
        <w:lvlJc w:val="left"/>
      </w:lvl>
    </w:lvlOverride>
  </w:num>
  <w:num w:numId="4" w16cid:durableId="1753619160">
    <w:abstractNumId w:val="2"/>
    <w:lvlOverride w:ilvl="0">
      <w:lvl w:ilvl="0">
        <w:numFmt w:val="upperLetter"/>
        <w:lvlText w:val="%1."/>
        <w:lvlJc w:val="left"/>
      </w:lvl>
    </w:lvlOverride>
  </w:num>
  <w:num w:numId="5" w16cid:durableId="149753048">
    <w:abstractNumId w:val="2"/>
    <w:lvlOverride w:ilvl="0">
      <w:lvl w:ilvl="0">
        <w:numFmt w:val="upperLetter"/>
        <w:lvlText w:val="%1."/>
        <w:lvlJc w:val="left"/>
      </w:lvl>
    </w:lvlOverride>
  </w:num>
  <w:num w:numId="6" w16cid:durableId="740904976">
    <w:abstractNumId w:val="2"/>
    <w:lvlOverride w:ilvl="0">
      <w:lvl w:ilvl="0">
        <w:numFmt w:val="upperLetter"/>
        <w:lvlText w:val="%1."/>
        <w:lvlJc w:val="left"/>
      </w:lvl>
    </w:lvlOverride>
  </w:num>
  <w:num w:numId="7" w16cid:durableId="824469516">
    <w:abstractNumId w:val="2"/>
    <w:lvlOverride w:ilvl="0">
      <w:lvl w:ilvl="0">
        <w:numFmt w:val="upperLetter"/>
        <w:lvlText w:val="%1."/>
        <w:lvlJc w:val="left"/>
      </w:lvl>
    </w:lvlOverride>
  </w:num>
  <w:num w:numId="8" w16cid:durableId="1462727701">
    <w:abstractNumId w:val="0"/>
  </w:num>
  <w:num w:numId="9" w16cid:durableId="511342236">
    <w:abstractNumId w:val="4"/>
    <w:lvlOverride w:ilvl="0">
      <w:lvl w:ilvl="0">
        <w:numFmt w:val="upperLetter"/>
        <w:lvlText w:val="%1."/>
        <w:lvlJc w:val="left"/>
      </w:lvl>
    </w:lvlOverride>
  </w:num>
  <w:num w:numId="10" w16cid:durableId="2004819277">
    <w:abstractNumId w:val="4"/>
    <w:lvlOverride w:ilvl="0">
      <w:lvl w:ilvl="0">
        <w:numFmt w:val="upperLetter"/>
        <w:lvlText w:val="%1."/>
        <w:lvlJc w:val="left"/>
      </w:lvl>
    </w:lvlOverride>
  </w:num>
  <w:num w:numId="11" w16cid:durableId="294021773">
    <w:abstractNumId w:val="4"/>
    <w:lvlOverride w:ilvl="0">
      <w:lvl w:ilvl="0">
        <w:numFmt w:val="upperLetter"/>
        <w:lvlText w:val="%1."/>
        <w:lvlJc w:val="left"/>
      </w:lvl>
    </w:lvlOverride>
  </w:num>
  <w:num w:numId="12" w16cid:durableId="766968956">
    <w:abstractNumId w:val="4"/>
    <w:lvlOverride w:ilvl="0">
      <w:lvl w:ilvl="0">
        <w:numFmt w:val="upperLetter"/>
        <w:lvlText w:val="%1."/>
        <w:lvlJc w:val="left"/>
      </w:lvl>
    </w:lvlOverride>
  </w:num>
  <w:num w:numId="13" w16cid:durableId="604118562">
    <w:abstractNumId w:val="4"/>
    <w:lvlOverride w:ilvl="0">
      <w:lvl w:ilvl="0">
        <w:numFmt w:val="upperLetter"/>
        <w:lvlText w:val="%1."/>
        <w:lvlJc w:val="left"/>
      </w:lvl>
    </w:lvlOverride>
  </w:num>
  <w:num w:numId="14" w16cid:durableId="829906854">
    <w:abstractNumId w:val="3"/>
  </w:num>
  <w:num w:numId="15" w16cid:durableId="1760329545">
    <w:abstractNumId w:val="5"/>
  </w:num>
  <w:num w:numId="16" w16cid:durableId="252325536">
    <w:abstractNumId w:val="9"/>
  </w:num>
  <w:num w:numId="17" w16cid:durableId="2053654440">
    <w:abstractNumId w:val="8"/>
  </w:num>
  <w:num w:numId="18" w16cid:durableId="101347356">
    <w:abstractNumId w:val="10"/>
  </w:num>
  <w:num w:numId="19" w16cid:durableId="1145700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570"/>
    <w:rsid w:val="001740F5"/>
    <w:rsid w:val="001D517E"/>
    <w:rsid w:val="002C352E"/>
    <w:rsid w:val="002F2D82"/>
    <w:rsid w:val="003354E0"/>
    <w:rsid w:val="00711AB6"/>
    <w:rsid w:val="00BD257D"/>
    <w:rsid w:val="00C546F0"/>
    <w:rsid w:val="00C92570"/>
    <w:rsid w:val="00E5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566C0"/>
  <w15:docId w15:val="{037506BA-29BF-8042-9BE3-BF6DE4E75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C35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52E"/>
  </w:style>
  <w:style w:type="paragraph" w:styleId="Footer">
    <w:name w:val="footer"/>
    <w:basedOn w:val="Normal"/>
    <w:link w:val="FooterChar"/>
    <w:uiPriority w:val="99"/>
    <w:unhideWhenUsed/>
    <w:rsid w:val="002C35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52E"/>
  </w:style>
  <w:style w:type="paragraph" w:styleId="NormalWeb">
    <w:name w:val="Normal (Web)"/>
    <w:basedOn w:val="Normal"/>
    <w:uiPriority w:val="99"/>
    <w:unhideWhenUsed/>
    <w:rsid w:val="00BD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D2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Tara Myers Harrison</cp:lastModifiedBy>
  <cp:revision>2</cp:revision>
  <dcterms:created xsi:type="dcterms:W3CDTF">2025-02-12T02:32:00Z</dcterms:created>
  <dcterms:modified xsi:type="dcterms:W3CDTF">2025-02-12T02:32:00Z</dcterms:modified>
</cp:coreProperties>
</file>