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E6BEF" w14:textId="77777777" w:rsidR="00CE7F18" w:rsidRDefault="00CE7F18" w:rsidP="00CE7F1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4711A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Journal of Avian Medicine and Surgery 38(2):98–107, 2024 </w:t>
      </w:r>
    </w:p>
    <w:p w14:paraId="201F9521" w14:textId="77777777" w:rsidR="00CE7F18" w:rsidRPr="00565D64" w:rsidRDefault="00CE7F18" w:rsidP="00CE7F1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5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Summarized by MR</w:t>
      </w:r>
    </w:p>
    <w:p w14:paraId="76A8DCA4" w14:textId="77777777" w:rsidR="00CE7F18" w:rsidRPr="00565D64" w:rsidRDefault="00CE7F18" w:rsidP="00CE7F18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256E9F" w14:textId="77777777" w:rsidR="00CE7F18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11AD">
        <w:rPr>
          <w:rFonts w:ascii="Times New Roman" w:eastAsia="Times New Roman" w:hAnsi="Times New Roman" w:cs="Times New Roman"/>
          <w:color w:val="000000"/>
          <w:sz w:val="24"/>
          <w:szCs w:val="24"/>
        </w:rPr>
        <w:t>Pharmacokinetics of Trazodone in Hispaniolan Parrots (</w:t>
      </w:r>
      <w:r w:rsidRPr="004711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Amazona ventralis</w:t>
      </w:r>
      <w:r w:rsidRPr="004711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0B4623E7" w14:textId="579326D0" w:rsidR="00CE7F18" w:rsidRPr="00CE7F18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711AD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Haley M. Straub, Thomas N. Tully, Jr., </w:t>
      </w:r>
      <w:proofErr w:type="spellStart"/>
      <w:r w:rsidRPr="004711AD">
        <w:rPr>
          <w:rFonts w:ascii="Times New Roman" w:eastAsia="Times New Roman" w:hAnsi="Times New Roman" w:cs="Times New Roman"/>
          <w:color w:val="000000"/>
          <w:sz w:val="18"/>
          <w:szCs w:val="18"/>
        </w:rPr>
        <w:t>Levent</w:t>
      </w:r>
      <w:proofErr w:type="spellEnd"/>
      <w:r w:rsidRPr="004711AD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4711AD">
        <w:rPr>
          <w:rFonts w:ascii="Times New Roman" w:eastAsia="Times New Roman" w:hAnsi="Times New Roman" w:cs="Times New Roman"/>
          <w:color w:val="000000"/>
          <w:sz w:val="18"/>
          <w:szCs w:val="18"/>
        </w:rPr>
        <w:t>Dirikolu</w:t>
      </w:r>
      <w:proofErr w:type="spellEnd"/>
      <w:r w:rsidRPr="004711AD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Andreas F. Lehner, Justin </w:t>
      </w:r>
      <w:proofErr w:type="spellStart"/>
      <w:r w:rsidRPr="004711AD">
        <w:rPr>
          <w:rFonts w:ascii="Times New Roman" w:eastAsia="Times New Roman" w:hAnsi="Times New Roman" w:cs="Times New Roman"/>
          <w:color w:val="000000"/>
          <w:sz w:val="18"/>
          <w:szCs w:val="18"/>
        </w:rPr>
        <w:t>Zyskowski</w:t>
      </w:r>
      <w:proofErr w:type="spellEnd"/>
      <w:r w:rsidRPr="004711AD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and John </w:t>
      </w:r>
      <w:proofErr w:type="spellStart"/>
      <w:r w:rsidRPr="004711AD">
        <w:rPr>
          <w:rFonts w:ascii="Times New Roman" w:eastAsia="Times New Roman" w:hAnsi="Times New Roman" w:cs="Times New Roman"/>
          <w:color w:val="000000"/>
          <w:sz w:val="18"/>
          <w:szCs w:val="18"/>
        </w:rPr>
        <w:t>Buchweitz</w:t>
      </w:r>
      <w:proofErr w:type="spellEnd"/>
    </w:p>
    <w:p w14:paraId="4026BD45" w14:textId="77777777" w:rsidR="00CE7F18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71441D4" w14:textId="1CDC07DF" w:rsidR="00CE7F18" w:rsidRPr="009334C5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334C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Question</w:t>
      </w:r>
    </w:p>
    <w:p w14:paraId="2F2E05D5" w14:textId="77777777" w:rsidR="00CE7F18" w:rsidRPr="009334C5" w:rsidRDefault="00CE7F18" w:rsidP="00CE7F1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334C5">
        <w:rPr>
          <w:rFonts w:ascii="Times New Roman" w:eastAsia="Times New Roman" w:hAnsi="Times New Roman" w:cs="Times New Roman"/>
          <w:sz w:val="20"/>
          <w:szCs w:val="20"/>
        </w:rPr>
        <w:t xml:space="preserve">Which of the following is true of trazodone pharmacokinetics in </w:t>
      </w:r>
      <w:proofErr w:type="spellStart"/>
      <w:r w:rsidRPr="009334C5">
        <w:rPr>
          <w:rFonts w:ascii="Times New Roman" w:eastAsia="Times New Roman" w:hAnsi="Times New Roman" w:cs="Times New Roman"/>
          <w:sz w:val="20"/>
          <w:szCs w:val="20"/>
        </w:rPr>
        <w:t>Hispanolian</w:t>
      </w:r>
      <w:proofErr w:type="spellEnd"/>
      <w:r w:rsidRPr="009334C5">
        <w:rPr>
          <w:rFonts w:ascii="Times New Roman" w:eastAsia="Times New Roman" w:hAnsi="Times New Roman" w:cs="Times New Roman"/>
          <w:sz w:val="20"/>
          <w:szCs w:val="20"/>
        </w:rPr>
        <w:t xml:space="preserve"> amazon parrots (</w:t>
      </w:r>
      <w:r w:rsidRPr="009334C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Amazona ventralis</w:t>
      </w:r>
      <w:r w:rsidRPr="009334C5">
        <w:rPr>
          <w:rFonts w:ascii="Times New Roman" w:eastAsia="Times New Roman" w:hAnsi="Times New Roman" w:cs="Times New Roman"/>
          <w:sz w:val="20"/>
          <w:szCs w:val="20"/>
        </w:rPr>
        <w:t>)?</w:t>
      </w:r>
    </w:p>
    <w:p w14:paraId="13A28F7A" w14:textId="77777777" w:rsidR="00CE7F18" w:rsidRPr="009334C5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334C5">
        <w:rPr>
          <w:rFonts w:ascii="Times New Roman" w:eastAsia="Times New Roman" w:hAnsi="Times New Roman" w:cs="Times New Roman"/>
          <w:sz w:val="20"/>
          <w:szCs w:val="20"/>
        </w:rPr>
        <w:t>A) Signs of sedation were observed in one hour</w:t>
      </w:r>
    </w:p>
    <w:p w14:paraId="5E66FFA7" w14:textId="77777777" w:rsidR="00CE7F18" w:rsidRPr="009334C5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334C5">
        <w:rPr>
          <w:rFonts w:ascii="Times New Roman" w:eastAsia="Times New Roman" w:hAnsi="Times New Roman" w:cs="Times New Roman"/>
          <w:sz w:val="20"/>
          <w:szCs w:val="20"/>
        </w:rPr>
        <w:t>B) Trazodone is rapidly absorbed in one hour</w:t>
      </w:r>
    </w:p>
    <w:p w14:paraId="306A9CAF" w14:textId="77777777" w:rsidR="00CE7F18" w:rsidRPr="009334C5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334C5">
        <w:rPr>
          <w:rFonts w:ascii="Times New Roman" w:eastAsia="Times New Roman" w:hAnsi="Times New Roman" w:cs="Times New Roman"/>
          <w:sz w:val="20"/>
          <w:szCs w:val="20"/>
        </w:rPr>
        <w:t>C) A majority of birds regurgitated after administration</w:t>
      </w:r>
    </w:p>
    <w:p w14:paraId="0509B873" w14:textId="77777777" w:rsidR="00CE7F18" w:rsidRPr="009334C5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334C5">
        <w:rPr>
          <w:rFonts w:ascii="Times New Roman" w:eastAsia="Times New Roman" w:hAnsi="Times New Roman" w:cs="Times New Roman"/>
          <w:sz w:val="20"/>
          <w:szCs w:val="20"/>
        </w:rPr>
        <w:t>D) Trazodone’s active metabolite was not detected</w:t>
      </w:r>
    </w:p>
    <w:p w14:paraId="60F5C335" w14:textId="77777777" w:rsidR="00CE7F18" w:rsidRPr="009334C5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334C5">
        <w:rPr>
          <w:rFonts w:ascii="Times New Roman" w:eastAsia="Times New Roman" w:hAnsi="Times New Roman" w:cs="Times New Roman"/>
          <w:sz w:val="20"/>
          <w:szCs w:val="20"/>
        </w:rPr>
        <w:t>E) Plasma concentrations were much higher than pigeons</w:t>
      </w:r>
    </w:p>
    <w:p w14:paraId="4F4EA145" w14:textId="77777777" w:rsidR="00CE7F18" w:rsidRPr="009334C5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68DA5D1" w14:textId="77777777" w:rsidR="00CE7F18" w:rsidRPr="009334C5" w:rsidRDefault="00CE7F18" w:rsidP="00CE7F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334C5">
        <w:rPr>
          <w:rFonts w:ascii="Times New Roman" w:eastAsia="Times New Roman" w:hAnsi="Times New Roman" w:cs="Times New Roman"/>
          <w:sz w:val="20"/>
          <w:szCs w:val="20"/>
        </w:rPr>
        <w:t>Answer: B) Trazodone is rapidly absorbed in one hour</w:t>
      </w:r>
    </w:p>
    <w:p w14:paraId="59107D2B" w14:textId="44197CB3" w:rsidR="00510FB1" w:rsidRDefault="00CE7F18" w:rsidP="009334C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334C5">
        <w:rPr>
          <w:rFonts w:ascii="Times New Roman" w:eastAsia="Times New Roman" w:hAnsi="Times New Roman" w:cs="Times New Roman"/>
          <w:sz w:val="20"/>
          <w:szCs w:val="20"/>
        </w:rPr>
        <w:t xml:space="preserve">Sedation was not reported in any birds at this dose. No adverse effects. The active metabolite, </w:t>
      </w:r>
      <w:proofErr w:type="spellStart"/>
      <w:r w:rsidRPr="009334C5">
        <w:rPr>
          <w:rFonts w:ascii="Times New Roman" w:eastAsia="Times New Roman" w:hAnsi="Times New Roman" w:cs="Times New Roman"/>
          <w:sz w:val="20"/>
          <w:szCs w:val="20"/>
        </w:rPr>
        <w:t>mCPP</w:t>
      </w:r>
      <w:proofErr w:type="spellEnd"/>
      <w:r w:rsidRPr="009334C5">
        <w:rPr>
          <w:rFonts w:ascii="Times New Roman" w:eastAsia="Times New Roman" w:hAnsi="Times New Roman" w:cs="Times New Roman"/>
          <w:sz w:val="20"/>
          <w:szCs w:val="20"/>
        </w:rPr>
        <w:t>, was detected. Plasma concentrations were comparable to a previous PK in pigeons.</w:t>
      </w:r>
    </w:p>
    <w:p w14:paraId="25F92D7D" w14:textId="77777777" w:rsidR="009334C5" w:rsidRPr="009334C5" w:rsidRDefault="009334C5" w:rsidP="009334C5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C9CAA04" w14:textId="77777777" w:rsidR="009334C5" w:rsidRDefault="009334C5" w:rsidP="009334C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3656B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Am J Vet Res. 2024;85(10)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1-7.</w:t>
      </w:r>
    </w:p>
    <w:p w14:paraId="213344E1" w14:textId="77777777" w:rsidR="009334C5" w:rsidRPr="00565D64" w:rsidRDefault="009334C5" w:rsidP="009334C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5D64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Summarized by MR</w:t>
      </w:r>
    </w:p>
    <w:p w14:paraId="46E63518" w14:textId="77777777" w:rsidR="009334C5" w:rsidRPr="00565D64" w:rsidRDefault="009334C5" w:rsidP="009334C5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8FACE5" w14:textId="77777777" w:rsidR="009334C5" w:rsidRDefault="009334C5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56BC">
        <w:rPr>
          <w:rFonts w:ascii="Times New Roman" w:eastAsia="Times New Roman" w:hAnsi="Times New Roman" w:cs="Times New Roman"/>
          <w:color w:val="000000"/>
          <w:sz w:val="24"/>
          <w:szCs w:val="24"/>
        </w:rPr>
        <w:t>Medetomidine-</w:t>
      </w:r>
      <w:proofErr w:type="spellStart"/>
      <w:r w:rsidRPr="003656BC">
        <w:rPr>
          <w:rFonts w:ascii="Times New Roman" w:eastAsia="Times New Roman" w:hAnsi="Times New Roman" w:cs="Times New Roman"/>
          <w:color w:val="000000"/>
          <w:sz w:val="24"/>
          <w:szCs w:val="24"/>
        </w:rPr>
        <w:t>vatinoxan</w:t>
      </w:r>
      <w:proofErr w:type="spellEnd"/>
      <w:r w:rsidRPr="003656BC">
        <w:rPr>
          <w:rFonts w:ascii="Times New Roman" w:eastAsia="Times New Roman" w:hAnsi="Times New Roman" w:cs="Times New Roman"/>
          <w:color w:val="000000"/>
          <w:sz w:val="24"/>
          <w:szCs w:val="24"/>
        </w:rPr>
        <w:t>-midazolam provides similar sedation depth with reduced bradycardia compared to dexmedetomidine-midazolam in pigeons (</w:t>
      </w:r>
      <w:r w:rsidRPr="003656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Columba </w:t>
      </w:r>
      <w:proofErr w:type="spellStart"/>
      <w:r w:rsidRPr="003656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livia</w:t>
      </w:r>
      <w:proofErr w:type="spellEnd"/>
      <w:r w:rsidRPr="003656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domestica</w:t>
      </w:r>
      <w:r w:rsidRPr="003656B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AE87222" w14:textId="77777777" w:rsidR="009334C5" w:rsidRPr="003656BC" w:rsidRDefault="009334C5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656B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Alison Jeffrey, DVM1; Laura Burns, DVM1; Stephen Santangelo, DVM1; Nicole </w:t>
      </w:r>
      <w:proofErr w:type="spellStart"/>
      <w:r w:rsidRPr="003656BC">
        <w:rPr>
          <w:rFonts w:ascii="Times New Roman" w:eastAsia="Times New Roman" w:hAnsi="Times New Roman" w:cs="Times New Roman"/>
          <w:color w:val="000000"/>
          <w:sz w:val="18"/>
          <w:szCs w:val="18"/>
        </w:rPr>
        <w:t>Sallaberry-Pincheira</w:t>
      </w:r>
      <w:proofErr w:type="spellEnd"/>
      <w:r w:rsidRPr="003656B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DVM, MSc1,2; Sarah </w:t>
      </w:r>
      <w:proofErr w:type="spellStart"/>
      <w:r w:rsidRPr="003656BC">
        <w:rPr>
          <w:rFonts w:ascii="Times New Roman" w:eastAsia="Times New Roman" w:hAnsi="Times New Roman" w:cs="Times New Roman"/>
          <w:color w:val="000000"/>
          <w:sz w:val="18"/>
          <w:szCs w:val="18"/>
        </w:rPr>
        <w:t>Camlic</w:t>
      </w:r>
      <w:proofErr w:type="spellEnd"/>
      <w:r w:rsidRPr="003656B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DVM1; Brianna Paredes3; Michele Barletta, DVM, PhD, </w:t>
      </w:r>
      <w:proofErr w:type="gramStart"/>
      <w:r w:rsidRPr="003656BC">
        <w:rPr>
          <w:rFonts w:ascii="Times New Roman" w:eastAsia="Times New Roman" w:hAnsi="Times New Roman" w:cs="Times New Roman"/>
          <w:color w:val="000000"/>
          <w:sz w:val="18"/>
          <w:szCs w:val="18"/>
        </w:rPr>
        <w:t>DACVAA4;</w:t>
      </w:r>
      <w:proofErr w:type="gramEnd"/>
    </w:p>
    <w:p w14:paraId="126F4AE3" w14:textId="77777777" w:rsidR="009334C5" w:rsidRDefault="009334C5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656B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Stephen Divers, </w:t>
      </w:r>
      <w:proofErr w:type="spellStart"/>
      <w:r w:rsidRPr="003656BC">
        <w:rPr>
          <w:rFonts w:ascii="Times New Roman" w:eastAsia="Times New Roman" w:hAnsi="Times New Roman" w:cs="Times New Roman"/>
          <w:color w:val="000000"/>
          <w:sz w:val="18"/>
          <w:szCs w:val="18"/>
        </w:rPr>
        <w:t>DZooMed</w:t>
      </w:r>
      <w:proofErr w:type="spellEnd"/>
      <w:r w:rsidRPr="003656BC">
        <w:rPr>
          <w:rFonts w:ascii="Times New Roman" w:eastAsia="Times New Roman" w:hAnsi="Times New Roman" w:cs="Times New Roman"/>
          <w:color w:val="000000"/>
          <w:sz w:val="18"/>
          <w:szCs w:val="18"/>
        </w:rPr>
        <w:t>, DECZM, DACZM1</w:t>
      </w:r>
    </w:p>
    <w:p w14:paraId="7BAB7B0D" w14:textId="77777777" w:rsidR="009334C5" w:rsidRDefault="009334C5" w:rsidP="009334C5">
      <w:pPr>
        <w:spacing w:after="0" w:line="240" w:lineRule="auto"/>
      </w:pPr>
    </w:p>
    <w:p w14:paraId="00733003" w14:textId="77777777" w:rsidR="009334C5" w:rsidRDefault="009334C5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Question: </w:t>
      </w:r>
      <w:r w:rsidRPr="001D183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Which of the following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drug</w:t>
      </w:r>
      <w:r w:rsidRPr="001D183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combinations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provided efficacious sedation over 60 minutes in domestic pigeons </w:t>
      </w:r>
      <w:r w:rsidRPr="001D183F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1D183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Columba </w:t>
      </w:r>
      <w:proofErr w:type="spellStart"/>
      <w:r w:rsidRPr="001D183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livia</w:t>
      </w:r>
      <w:proofErr w:type="spellEnd"/>
      <w:r w:rsidRPr="001D183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domestica</w:t>
      </w:r>
      <w:r w:rsidRPr="001D183F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while also sparing bradycardia for the majority of the sedation event?</w:t>
      </w:r>
    </w:p>
    <w:p w14:paraId="5E058675" w14:textId="77777777" w:rsidR="009334C5" w:rsidRDefault="009334C5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A) Dexmedetomidine-midazolam</w:t>
      </w:r>
    </w:p>
    <w:p w14:paraId="150411A8" w14:textId="77777777" w:rsidR="009334C5" w:rsidRDefault="009334C5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B) Medetomidine-midazolam</w:t>
      </w:r>
    </w:p>
    <w:p w14:paraId="58260869" w14:textId="77777777" w:rsidR="009334C5" w:rsidRDefault="009334C5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C) Medetomidine-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vatinoxan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-midazolam</w:t>
      </w:r>
    </w:p>
    <w:p w14:paraId="461D8EB1" w14:textId="77777777" w:rsidR="009334C5" w:rsidRDefault="009334C5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D) Butorphanol-midazolam</w:t>
      </w:r>
    </w:p>
    <w:p w14:paraId="76F80160" w14:textId="424D0373" w:rsidR="009334C5" w:rsidRDefault="009334C5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E) Butorphanol-dexmedetomidine</w:t>
      </w:r>
    </w:p>
    <w:p w14:paraId="1F8A21FB" w14:textId="11464D70" w:rsidR="00BB376B" w:rsidRDefault="00BB376B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1157E74" w14:textId="40A10DE5" w:rsidR="00BB376B" w:rsidRDefault="00BB376B" w:rsidP="00933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1B62E90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</w:rPr>
      </w:pPr>
      <w:r w:rsidRPr="3C151C6D">
        <w:rPr>
          <w:rFonts w:ascii="Calibri" w:eastAsia="Calibri" w:hAnsi="Calibri" w:cs="Calibri"/>
          <w:color w:val="000000" w:themeColor="text1"/>
        </w:rPr>
        <w:t>American Journal of Veterinary Research 84(4): 1-11, 2023</w:t>
      </w:r>
    </w:p>
    <w:p w14:paraId="55252DBE" w14:textId="77777777" w:rsidR="00BB376B" w:rsidRDefault="00BB376B" w:rsidP="00BB376B">
      <w:pPr>
        <w:spacing w:after="0"/>
        <w:rPr>
          <w:rFonts w:ascii="Calibri" w:eastAsia="Calibri" w:hAnsi="Calibri" w:cs="Calibri"/>
          <w:b/>
          <w:bCs/>
          <w:color w:val="000000" w:themeColor="text1"/>
        </w:rPr>
      </w:pPr>
      <w:r w:rsidRPr="3C151C6D">
        <w:rPr>
          <w:rFonts w:ascii="Calibri" w:eastAsia="Calibri" w:hAnsi="Calibri" w:cs="Calibri"/>
          <w:b/>
          <w:bCs/>
          <w:color w:val="000000" w:themeColor="text1"/>
        </w:rPr>
        <w:t>TWICE-DAILY ORAL ADMINISTRATION OF A CANNABIDIOL AND CANNABIDIOLIC ACID-RICH HEMP EXTRACT WAS WELL TOLERATED IN ORANGE-WINGED AMAZON PARROTS (AMAZONA AMAZONICA) AND HAS A FAVORABLE PHARMACOKINETIC PROFILE</w:t>
      </w:r>
    </w:p>
    <w:p w14:paraId="0E58AD4A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</w:rPr>
      </w:pPr>
      <w:r w:rsidRPr="30DD70CB">
        <w:rPr>
          <w:rFonts w:ascii="Calibri" w:eastAsia="Calibri" w:hAnsi="Calibri" w:cs="Calibri"/>
          <w:color w:val="000000" w:themeColor="text1"/>
        </w:rPr>
        <w:t>Question: What cannabinoid metabolite had higher plasma concentrations post-administration of hemp extract in Orange-winged parrots as compared to studies in dogs and horses?</w:t>
      </w:r>
    </w:p>
    <w:p w14:paraId="7AFCAC7F" w14:textId="77777777" w:rsidR="00BB376B" w:rsidRDefault="00BB376B" w:rsidP="00BB376B">
      <w:pPr>
        <w:pStyle w:val="ListParagraph"/>
        <w:numPr>
          <w:ilvl w:val="0"/>
          <w:numId w:val="3"/>
        </w:numPr>
        <w:spacing w:after="0" w:line="279" w:lineRule="auto"/>
        <w:rPr>
          <w:rFonts w:ascii="Calibri" w:eastAsia="Calibri" w:hAnsi="Calibri" w:cs="Calibri"/>
          <w:color w:val="000000" w:themeColor="text1"/>
        </w:rPr>
      </w:pPr>
      <w:r w:rsidRPr="30DD70CB">
        <w:rPr>
          <w:rFonts w:ascii="Calibri" w:eastAsia="Calibri" w:hAnsi="Calibri" w:cs="Calibri"/>
          <w:color w:val="000000" w:themeColor="text1"/>
        </w:rPr>
        <w:t>7-OH-CBD</w:t>
      </w:r>
    </w:p>
    <w:p w14:paraId="4A728251" w14:textId="77777777" w:rsidR="00BB376B" w:rsidRDefault="00BB376B" w:rsidP="00BB376B">
      <w:pPr>
        <w:pStyle w:val="ListParagraph"/>
        <w:numPr>
          <w:ilvl w:val="0"/>
          <w:numId w:val="3"/>
        </w:numPr>
        <w:spacing w:after="0" w:line="279" w:lineRule="auto"/>
        <w:rPr>
          <w:rFonts w:ascii="Calibri" w:eastAsia="Calibri" w:hAnsi="Calibri" w:cs="Calibri"/>
          <w:color w:val="000000" w:themeColor="text1"/>
        </w:rPr>
      </w:pPr>
      <w:r w:rsidRPr="30DD70CB">
        <w:rPr>
          <w:rFonts w:ascii="Calibri" w:eastAsia="Calibri" w:hAnsi="Calibri" w:cs="Calibri"/>
          <w:color w:val="000000" w:themeColor="text1"/>
        </w:rPr>
        <w:t>7-COOH-CBD</w:t>
      </w:r>
    </w:p>
    <w:p w14:paraId="25FE32C5" w14:textId="77777777" w:rsidR="00BB376B" w:rsidRDefault="00BB376B" w:rsidP="00BB376B">
      <w:pPr>
        <w:pStyle w:val="ListParagraph"/>
        <w:numPr>
          <w:ilvl w:val="0"/>
          <w:numId w:val="3"/>
        </w:numPr>
        <w:spacing w:after="0" w:line="279" w:lineRule="auto"/>
        <w:rPr>
          <w:rFonts w:ascii="Calibri" w:eastAsia="Calibri" w:hAnsi="Calibri" w:cs="Calibri"/>
          <w:color w:val="000000" w:themeColor="text1"/>
        </w:rPr>
      </w:pPr>
      <w:r w:rsidRPr="30DD70CB">
        <w:rPr>
          <w:rFonts w:ascii="Calibri" w:eastAsia="Calibri" w:hAnsi="Calibri" w:cs="Calibri"/>
          <w:color w:val="000000" w:themeColor="text1"/>
        </w:rPr>
        <w:t>11-OH-THC</w:t>
      </w:r>
    </w:p>
    <w:p w14:paraId="23EE8523" w14:textId="77777777" w:rsidR="00BB376B" w:rsidRDefault="00BB376B" w:rsidP="00BB376B">
      <w:pPr>
        <w:pStyle w:val="ListParagraph"/>
        <w:numPr>
          <w:ilvl w:val="0"/>
          <w:numId w:val="3"/>
        </w:numPr>
        <w:spacing w:after="0" w:line="279" w:lineRule="auto"/>
        <w:rPr>
          <w:rFonts w:ascii="Calibri" w:eastAsia="Calibri" w:hAnsi="Calibri" w:cs="Calibri"/>
          <w:color w:val="000000" w:themeColor="text1"/>
        </w:rPr>
      </w:pPr>
      <w:r w:rsidRPr="30DD70CB">
        <w:rPr>
          <w:rFonts w:ascii="Calibri" w:eastAsia="Calibri" w:hAnsi="Calibri" w:cs="Calibri"/>
          <w:color w:val="000000" w:themeColor="text1"/>
        </w:rPr>
        <w:t>COOH-THC</w:t>
      </w:r>
    </w:p>
    <w:p w14:paraId="107653D4" w14:textId="77777777" w:rsidR="00BB376B" w:rsidRDefault="00BB376B" w:rsidP="00BB376B">
      <w:pPr>
        <w:pStyle w:val="ListParagraph"/>
        <w:numPr>
          <w:ilvl w:val="0"/>
          <w:numId w:val="3"/>
        </w:numPr>
        <w:spacing w:after="0" w:line="279" w:lineRule="auto"/>
        <w:rPr>
          <w:rFonts w:ascii="Calibri" w:eastAsia="Calibri" w:hAnsi="Calibri" w:cs="Calibri"/>
          <w:color w:val="000000" w:themeColor="text1"/>
        </w:rPr>
      </w:pPr>
      <w:r w:rsidRPr="30DD70CB">
        <w:rPr>
          <w:rFonts w:ascii="Calibri" w:eastAsia="Calibri" w:hAnsi="Calibri" w:cs="Calibri"/>
          <w:color w:val="000000" w:themeColor="text1"/>
        </w:rPr>
        <w:t>COOH-THC-Glu</w:t>
      </w:r>
    </w:p>
    <w:p w14:paraId="267AA3C4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</w:rPr>
      </w:pPr>
    </w:p>
    <w:p w14:paraId="49E94F13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</w:rPr>
      </w:pPr>
      <w:r w:rsidRPr="30DD70CB">
        <w:rPr>
          <w:rFonts w:ascii="Calibri" w:eastAsia="Calibri" w:hAnsi="Calibri" w:cs="Calibri"/>
          <w:color w:val="000000" w:themeColor="text1"/>
        </w:rPr>
        <w:lastRenderedPageBreak/>
        <w:t>Answer: C</w:t>
      </w:r>
    </w:p>
    <w:p w14:paraId="168B6093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</w:rPr>
      </w:pPr>
    </w:p>
    <w:p w14:paraId="7C04A49E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</w:rPr>
      </w:pPr>
      <w:r w:rsidRPr="3C151C6D">
        <w:rPr>
          <w:rFonts w:ascii="Calibri" w:eastAsia="Calibri" w:hAnsi="Calibri" w:cs="Calibri"/>
          <w:color w:val="000000" w:themeColor="text1"/>
        </w:rPr>
        <w:t>------------------------------------------------------------------------------------------------------------------------------</w:t>
      </w:r>
    </w:p>
    <w:p w14:paraId="592C2A99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</w:rPr>
      </w:pPr>
    </w:p>
    <w:p w14:paraId="0E6B0A53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</w:rPr>
      </w:pPr>
      <w:r w:rsidRPr="3C151C6D">
        <w:rPr>
          <w:rFonts w:ascii="Calibri" w:eastAsia="Calibri" w:hAnsi="Calibri" w:cs="Calibri"/>
          <w:color w:val="000000" w:themeColor="text1"/>
        </w:rPr>
        <w:t>American Journal of Veterinary Research 83(12): 1-8, 2022</w:t>
      </w:r>
    </w:p>
    <w:p w14:paraId="3B77C45B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</w:rPr>
      </w:pPr>
      <w:r w:rsidRPr="3C151C6D">
        <w:rPr>
          <w:rFonts w:ascii="Calibri" w:eastAsia="Calibri" w:hAnsi="Calibri" w:cs="Calibri"/>
          <w:b/>
          <w:bCs/>
          <w:color w:val="000000" w:themeColor="text1"/>
        </w:rPr>
        <w:t>INTRANASAL BUTORPHANOL AND MIDAZOLAM ADMINISTERED PRIOR TO INTRAMUSCULAR ALFAXALONE PROVIDES SAFE AND EFFECTIVE SEDATION IN QUAKER PARROTS (MYIOPSITTA MONACHUS)</w:t>
      </w:r>
    </w:p>
    <w:p w14:paraId="7CB4A55B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</w:pPr>
      <w:r w:rsidRPr="30DD70CB">
        <w:rPr>
          <w:rFonts w:ascii="Calibri" w:eastAsia="Calibri" w:hAnsi="Calibri" w:cs="Calibri"/>
          <w:b/>
          <w:bCs/>
          <w:color w:val="000000" w:themeColor="text1"/>
          <w:sz w:val="28"/>
          <w:szCs w:val="28"/>
          <w:vertAlign w:val="superscript"/>
        </w:rPr>
        <w:t>Question:</w:t>
      </w:r>
      <w:r w:rsidRPr="30DD70CB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 xml:space="preserve"> In Quaker parrots (</w:t>
      </w:r>
      <w:proofErr w:type="spellStart"/>
      <w:r w:rsidRPr="30DD70CB">
        <w:rPr>
          <w:rFonts w:ascii="Calibri" w:eastAsia="Calibri" w:hAnsi="Calibri" w:cs="Calibri"/>
          <w:i/>
          <w:iCs/>
          <w:color w:val="000000" w:themeColor="text1"/>
          <w:sz w:val="28"/>
          <w:szCs w:val="28"/>
          <w:vertAlign w:val="superscript"/>
        </w:rPr>
        <w:t>Myiopsitta</w:t>
      </w:r>
      <w:proofErr w:type="spellEnd"/>
      <w:r w:rsidRPr="30DD70CB">
        <w:rPr>
          <w:rFonts w:ascii="Calibri" w:eastAsia="Calibri" w:hAnsi="Calibri" w:cs="Calibri"/>
          <w:i/>
          <w:iCs/>
          <w:color w:val="000000" w:themeColor="text1"/>
          <w:sz w:val="28"/>
          <w:szCs w:val="28"/>
          <w:vertAlign w:val="superscript"/>
        </w:rPr>
        <w:t xml:space="preserve"> </w:t>
      </w:r>
      <w:proofErr w:type="spellStart"/>
      <w:r w:rsidRPr="30DD70CB">
        <w:rPr>
          <w:rFonts w:ascii="Calibri" w:eastAsia="Calibri" w:hAnsi="Calibri" w:cs="Calibri"/>
          <w:i/>
          <w:iCs/>
          <w:color w:val="000000" w:themeColor="text1"/>
          <w:sz w:val="28"/>
          <w:szCs w:val="28"/>
          <w:vertAlign w:val="superscript"/>
        </w:rPr>
        <w:t>monachus</w:t>
      </w:r>
      <w:proofErr w:type="spellEnd"/>
      <w:r w:rsidRPr="30DD70CB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 xml:space="preserve">), what adverse effect can occur with the administration of </w:t>
      </w:r>
      <w:proofErr w:type="spellStart"/>
      <w:r w:rsidRPr="30DD70CB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>alfaxalone</w:t>
      </w:r>
      <w:proofErr w:type="spellEnd"/>
      <w:r w:rsidRPr="30DD70CB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>.</w:t>
      </w:r>
    </w:p>
    <w:p w14:paraId="39388D25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</w:pPr>
      <w:r w:rsidRPr="3C151C6D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>A. Hypertension</w:t>
      </w:r>
    </w:p>
    <w:p w14:paraId="498B8C4C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</w:pPr>
      <w:r w:rsidRPr="3C151C6D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>B. Hyperthermia</w:t>
      </w:r>
    </w:p>
    <w:p w14:paraId="099220DF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</w:pPr>
      <w:r w:rsidRPr="3C151C6D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>C. Muscle fasciculations</w:t>
      </w:r>
    </w:p>
    <w:p w14:paraId="4603B5A5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</w:pPr>
      <w:r w:rsidRPr="3C151C6D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>D. Regurgitation</w:t>
      </w:r>
    </w:p>
    <w:p w14:paraId="175C6258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</w:pPr>
      <w:r w:rsidRPr="3C151C6D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>E. Fulminant liver necrosis</w:t>
      </w:r>
    </w:p>
    <w:p w14:paraId="4E3596EB" w14:textId="77777777" w:rsidR="00BB376B" w:rsidRDefault="00BB376B" w:rsidP="00BB376B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</w:pPr>
      <w:r w:rsidRPr="3C151C6D">
        <w:rPr>
          <w:rFonts w:ascii="Calibri" w:eastAsia="Calibri" w:hAnsi="Calibri" w:cs="Calibri"/>
          <w:color w:val="000000" w:themeColor="text1"/>
          <w:sz w:val="28"/>
          <w:szCs w:val="28"/>
          <w:vertAlign w:val="superscript"/>
        </w:rPr>
        <w:t>Answer: C</w:t>
      </w:r>
    </w:p>
    <w:p w14:paraId="78EBA41D" w14:textId="4C9FC238" w:rsidR="00BB376B" w:rsidRDefault="00BB376B" w:rsidP="00BB376B"/>
    <w:p w14:paraId="747D3FAA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40048F5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1003A">
        <w:rPr>
          <w:rFonts w:ascii="Times New Roman" w:eastAsia="Times New Roman" w:hAnsi="Times New Roman" w:cs="Times New Roman"/>
          <w:b/>
          <w:bCs/>
        </w:rPr>
        <w:t>QUESTION:</w:t>
      </w:r>
      <w:r>
        <w:rPr>
          <w:rFonts w:ascii="Times New Roman" w:eastAsia="Times New Roman" w:hAnsi="Times New Roman" w:cs="Times New Roman"/>
        </w:rPr>
        <w:t xml:space="preserve"> What might you expect to occur with </w:t>
      </w:r>
      <w:proofErr w:type="spellStart"/>
      <w:r>
        <w:rPr>
          <w:rFonts w:ascii="Times New Roman" w:eastAsia="Times New Roman" w:hAnsi="Times New Roman" w:cs="Times New Roman"/>
        </w:rPr>
        <w:t>grapiprant</w:t>
      </w:r>
      <w:proofErr w:type="spellEnd"/>
      <w:r>
        <w:rPr>
          <w:rFonts w:ascii="Times New Roman" w:eastAsia="Times New Roman" w:hAnsi="Times New Roman" w:cs="Times New Roman"/>
        </w:rPr>
        <w:t xml:space="preserve"> absorption in red-tailed hawks when administered orally with a force-feeding compared to administration when fasted?</w:t>
      </w:r>
    </w:p>
    <w:p w14:paraId="19FB9D92" w14:textId="77777777" w:rsidR="00BB376B" w:rsidRDefault="00BB376B" w:rsidP="00BB376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Decreased maximum plasma concentration</w:t>
      </w:r>
    </w:p>
    <w:p w14:paraId="64D8B737" w14:textId="77777777" w:rsidR="00BB376B" w:rsidRPr="0021003A" w:rsidRDefault="00BB376B" w:rsidP="00BB376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Increased bioavailability</w:t>
      </w:r>
    </w:p>
    <w:p w14:paraId="68F99644" w14:textId="77777777" w:rsidR="00BB376B" w:rsidRDefault="00BB376B" w:rsidP="00BB376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Longer mean terminal half-life</w:t>
      </w:r>
    </w:p>
    <w:p w14:paraId="4A068E03" w14:textId="77777777" w:rsidR="00BB376B" w:rsidRDefault="00BB376B" w:rsidP="00BB376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Decreased dosing frequency requirement</w:t>
      </w:r>
    </w:p>
    <w:p w14:paraId="7882E4B9" w14:textId="77777777" w:rsidR="00BB376B" w:rsidRDefault="00BB376B" w:rsidP="00BB376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Significant bioaccumulation</w:t>
      </w:r>
    </w:p>
    <w:p w14:paraId="508D9307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Answer: A</w:t>
      </w:r>
    </w:p>
    <w:p w14:paraId="624E5D44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35CDEDA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21003A">
        <w:rPr>
          <w:rFonts w:ascii="Times New Roman" w:eastAsia="Times New Roman" w:hAnsi="Times New Roman" w:cs="Times New Roman"/>
        </w:rPr>
        <w:t xml:space="preserve">Source: </w:t>
      </w:r>
      <w:hyperlink r:id="rId5" w:history="1">
        <w:r w:rsidRPr="00513B7B">
          <w:rPr>
            <w:rFonts w:ascii="Times New Roman" w:eastAsia="Times New Roman" w:hAnsi="Times New Roman" w:cs="Times New Roman"/>
            <w:color w:val="000000"/>
          </w:rPr>
          <w:t>Absorption of grapiprant in red-tailed hawks (Buteo jamaicensis) is decreased when administered with food</w:t>
        </w:r>
      </w:hyperlink>
      <w:r w:rsidRPr="0021003A">
        <w:rPr>
          <w:rFonts w:ascii="Times New Roman" w:eastAsia="Times New Roman" w:hAnsi="Times New Roman" w:cs="Times New Roman"/>
          <w:color w:val="000000"/>
        </w:rPr>
        <w:t xml:space="preserve">. AJVR 2022. </w:t>
      </w:r>
      <w:r w:rsidRPr="00513B7B">
        <w:rPr>
          <w:rFonts w:ascii="Times New Roman" w:eastAsia="Times New Roman" w:hAnsi="Times New Roman" w:cs="Times New Roman"/>
          <w:color w:val="000000"/>
        </w:rPr>
        <w:t>Rodriguez</w:t>
      </w:r>
      <w:r w:rsidRPr="0021003A">
        <w:rPr>
          <w:rFonts w:ascii="Times New Roman" w:eastAsia="Times New Roman" w:hAnsi="Times New Roman" w:cs="Times New Roman"/>
          <w:color w:val="000000"/>
        </w:rPr>
        <w:t xml:space="preserve"> et al.</w:t>
      </w:r>
    </w:p>
    <w:p w14:paraId="4CDE59A4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921B994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DD923CD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E3F62CA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0BDA7D7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21003A">
        <w:rPr>
          <w:rFonts w:ascii="Times New Roman" w:eastAsia="Times New Roman" w:hAnsi="Times New Roman" w:cs="Times New Roman"/>
          <w:b/>
          <w:bCs/>
          <w:color w:val="000000"/>
        </w:rPr>
        <w:t>QUESTION:</w:t>
      </w:r>
      <w:r>
        <w:rPr>
          <w:rFonts w:ascii="Times New Roman" w:eastAsia="Times New Roman" w:hAnsi="Times New Roman" w:cs="Times New Roman"/>
          <w:color w:val="000000"/>
        </w:rPr>
        <w:t xml:space="preserve"> What adverse effect would you most likely expect from dexmedetomidine-midazolam intramuscular anesthesia in budgerigars </w:t>
      </w:r>
      <w:r w:rsidRPr="00513B7B">
        <w:rPr>
          <w:rFonts w:ascii="Times New Roman" w:eastAsia="Times New Roman" w:hAnsi="Times New Roman" w:cs="Times New Roman"/>
          <w:color w:val="000000"/>
        </w:rPr>
        <w:t>(</w:t>
      </w:r>
      <w:r w:rsidRPr="00513B7B">
        <w:rPr>
          <w:rFonts w:ascii="Times New Roman" w:eastAsia="Times New Roman" w:hAnsi="Times New Roman" w:cs="Times New Roman"/>
          <w:i/>
          <w:iCs/>
          <w:color w:val="000000"/>
        </w:rPr>
        <w:t>Melopsittacus undulatus</w:t>
      </w:r>
      <w:r w:rsidRPr="00513B7B"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14:paraId="26DCAF62" w14:textId="77777777" w:rsidR="00BB376B" w:rsidRDefault="00BB376B" w:rsidP="00BB376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Regurgitation</w:t>
      </w:r>
    </w:p>
    <w:p w14:paraId="7B4118FE" w14:textId="77777777" w:rsidR="00BB376B" w:rsidRPr="0021003A" w:rsidRDefault="00BB376B" w:rsidP="00BB376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21003A">
        <w:rPr>
          <w:rFonts w:ascii="Times New Roman" w:eastAsia="Times New Roman" w:hAnsi="Times New Roman" w:cs="Times New Roman"/>
          <w:color w:val="000000"/>
        </w:rPr>
        <w:t>Apnea</w:t>
      </w:r>
    </w:p>
    <w:p w14:paraId="0B68B2AD" w14:textId="77777777" w:rsidR="00BB376B" w:rsidRDefault="00BB376B" w:rsidP="00BB376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Re-sedation</w:t>
      </w:r>
    </w:p>
    <w:p w14:paraId="4A9B47A0" w14:textId="77777777" w:rsidR="00BB376B" w:rsidRDefault="00BB376B" w:rsidP="00BB376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Torticollis</w:t>
      </w:r>
    </w:p>
    <w:p w14:paraId="4217A87B" w14:textId="77777777" w:rsidR="00BB376B" w:rsidRPr="0021003A" w:rsidRDefault="00BB376B" w:rsidP="00BB376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Hyperexcitability</w:t>
      </w:r>
    </w:p>
    <w:p w14:paraId="20A74AFB" w14:textId="77777777" w:rsidR="00BB376B" w:rsidRDefault="00BB376B" w:rsidP="00BB376B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CF43FEC" w14:textId="77777777" w:rsidR="00BB376B" w:rsidRPr="00513B7B" w:rsidRDefault="00BB376B" w:rsidP="00BB376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1003A">
        <w:rPr>
          <w:rFonts w:ascii="Times New Roman" w:eastAsia="Times New Roman" w:hAnsi="Times New Roman" w:cs="Times New Roman"/>
          <w:color w:val="000000"/>
        </w:rPr>
        <w:t>Source:</w:t>
      </w:r>
      <w:r w:rsidRPr="0021003A">
        <w:rPr>
          <w:rFonts w:ascii="Times New Roman" w:eastAsia="Times New Roman" w:hAnsi="Times New Roman" w:cs="Times New Roman"/>
        </w:rPr>
        <w:t xml:space="preserve"> </w:t>
      </w:r>
      <w:r w:rsidRPr="00513B7B">
        <w:rPr>
          <w:rFonts w:ascii="Times New Roman" w:eastAsia="Times New Roman" w:hAnsi="Times New Roman" w:cs="Times New Roman"/>
          <w:color w:val="000000"/>
        </w:rPr>
        <w:t xml:space="preserve">Evaluation of dexmedetomidine-midazolam sedation in budgerigars (Melopsittacus undulatus). </w:t>
      </w:r>
      <w:r w:rsidRPr="0021003A">
        <w:rPr>
          <w:rFonts w:ascii="Times New Roman" w:eastAsia="Times New Roman" w:hAnsi="Times New Roman" w:cs="Times New Roman"/>
          <w:color w:val="000000"/>
        </w:rPr>
        <w:t>JAVMA 2022. Mumm &amp; Mans.</w:t>
      </w:r>
      <w:r w:rsidRPr="00513B7B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145182D" w14:textId="77777777" w:rsidR="00BB376B" w:rsidRPr="00513B7B" w:rsidRDefault="00BB376B" w:rsidP="00BB376B">
      <w:pPr>
        <w:spacing w:line="240" w:lineRule="auto"/>
      </w:pPr>
    </w:p>
    <w:p w14:paraId="27DD32F6" w14:textId="77777777" w:rsidR="00BB376B" w:rsidRDefault="00BB376B" w:rsidP="00BB376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American Journal of Veterinary Research, 84(5), 2023</w:t>
      </w:r>
    </w:p>
    <w:p w14:paraId="6BF8DEA8" w14:textId="77777777" w:rsidR="00BB376B" w:rsidRDefault="00BB376B" w:rsidP="00BB376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High bioavailability, short half-life, and metabolism into hydromorphone-3-glucuronide following single intramuscular and intravenous administration of hydromorphone hydrochloride to great horned owls (Bubo virginianus) - </w:t>
      </w:r>
      <w:r>
        <w:rPr>
          <w:rFonts w:ascii="Calibri" w:eastAsia="Calibri" w:hAnsi="Calibri" w:cs="Calibri"/>
        </w:rPr>
        <w:t>reviewed by HSS</w:t>
      </w:r>
    </w:p>
    <w:p w14:paraId="4582C453" w14:textId="77777777" w:rsidR="00BB376B" w:rsidRDefault="00BB376B" w:rsidP="00BB376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Mariana Sosa-Higareda MVZ, David Sanchez-</w:t>
      </w:r>
      <w:proofErr w:type="spellStart"/>
      <w:r>
        <w:rPr>
          <w:rFonts w:ascii="Calibri" w:eastAsia="Calibri" w:hAnsi="Calibri" w:cs="Calibri"/>
        </w:rPr>
        <w:t>Migallon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Guzman  LV</w:t>
      </w:r>
      <w:proofErr w:type="gramEnd"/>
      <w:r>
        <w:rPr>
          <w:rFonts w:ascii="Calibri" w:eastAsia="Calibri" w:hAnsi="Calibri" w:cs="Calibri"/>
        </w:rPr>
        <w:t xml:space="preserve">, MS, DECZM, DACZM, Heather K. </w:t>
      </w:r>
      <w:proofErr w:type="spellStart"/>
      <w:r>
        <w:rPr>
          <w:rFonts w:ascii="Calibri" w:eastAsia="Calibri" w:hAnsi="Calibri" w:cs="Calibri"/>
        </w:rPr>
        <w:t>Knych</w:t>
      </w:r>
      <w:proofErr w:type="spellEnd"/>
      <w:r>
        <w:rPr>
          <w:rFonts w:ascii="Calibri" w:eastAsia="Calibri" w:hAnsi="Calibri" w:cs="Calibri"/>
        </w:rPr>
        <w:t xml:space="preserve"> DVM, PhD, DACVCP, and Michelle G. Hawkins VMD, DABVP</w:t>
      </w:r>
    </w:p>
    <w:p w14:paraId="44B27034" w14:textId="77777777" w:rsidR="00BB376B" w:rsidRDefault="00BB376B" w:rsidP="00BB376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0379BABE" wp14:editId="6FFDAB17">
            <wp:extent cx="1752600" cy="1176672"/>
            <wp:effectExtent l="0" t="0" r="0" b="0"/>
            <wp:docPr id="1" name="Picture 1" descr="A close up of an ow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n owl&#10;&#10;Description automatically generated"/>
                    <pic:cNvPicPr preferRelativeResize="0"/>
                  </pic:nvPicPr>
                  <pic:blipFill>
                    <a:blip r:embed="rId6"/>
                    <a:srcRect t="711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76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8762BF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</w:t>
      </w:r>
    </w:p>
    <w:p w14:paraId="40E3E36C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01987C42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Which of the following statements is most correct regarding hydromorphone in great horned owls (</w:t>
      </w:r>
      <w:r>
        <w:rPr>
          <w:rFonts w:ascii="Calibri" w:eastAsia="Calibri" w:hAnsi="Calibri" w:cs="Calibri"/>
          <w:i/>
        </w:rPr>
        <w:t>Bubo virginianus</w:t>
      </w:r>
      <w:r>
        <w:rPr>
          <w:rFonts w:ascii="Calibri" w:eastAsia="Calibri" w:hAnsi="Calibri" w:cs="Calibri"/>
        </w:rPr>
        <w:t>)?</w:t>
      </w:r>
    </w:p>
    <w:p w14:paraId="51E3912B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22450A5F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 Intramuscular administration results in slow absorption and a longer half-life compared to intravenous administration</w:t>
      </w:r>
    </w:p>
    <w:p w14:paraId="4DABA518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B. Hydromorphone is metabolized to hydromorphone–3-glucuronide following intravenous administration only</w:t>
      </w:r>
    </w:p>
    <w:p w14:paraId="4CE9679A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C. Hydromorphone administration yields antinociceptive effects when administered at 0.6 mg/kg but not 0.3 mg/kg</w:t>
      </w:r>
    </w:p>
    <w:p w14:paraId="31386FA4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D. Hydromorphone has low bioavailability when administered intramuscularly</w:t>
      </w:r>
    </w:p>
    <w:p w14:paraId="5D1FA13F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E. The metabolite, hydromorphone-3-glucuronide has not been demonstrated to have analgesic effects</w:t>
      </w:r>
    </w:p>
    <w:p w14:paraId="2179D058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593A8D5E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Answer: </w:t>
      </w:r>
      <w:r>
        <w:rPr>
          <w:rFonts w:ascii="Calibri" w:eastAsia="Calibri" w:hAnsi="Calibri" w:cs="Calibri"/>
        </w:rPr>
        <w:t xml:space="preserve">E </w:t>
      </w:r>
    </w:p>
    <w:p w14:paraId="364E4157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732D798C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Explanation: </w:t>
      </w:r>
    </w:p>
    <w:p w14:paraId="329CF2FC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Hydromorphone IM was rapidly absorbed, had high bioavailability, and had a short half-life (t1/2) (1.62 ± 0.36 hours), which was </w:t>
      </w:r>
      <w:proofErr w:type="gramStart"/>
      <w:r>
        <w:rPr>
          <w:rFonts w:ascii="Calibri" w:eastAsia="Calibri" w:hAnsi="Calibri" w:cs="Calibri"/>
        </w:rPr>
        <w:t>similar to</w:t>
      </w:r>
      <w:proofErr w:type="gramEnd"/>
      <w:r>
        <w:rPr>
          <w:rFonts w:ascii="Calibri" w:eastAsia="Calibri" w:hAnsi="Calibri" w:cs="Calibri"/>
        </w:rPr>
        <w:t xml:space="preserve"> the t1/2 for IV administration (1.35 ± 0.59 hours)</w:t>
      </w:r>
    </w:p>
    <w:p w14:paraId="4A228297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H3G was detectable in all birds at 30 minutes following drug administration by both the IV and IM routes and had measurable plasma concentrations up to 12 hours </w:t>
      </w:r>
      <w:proofErr w:type="spellStart"/>
      <w:r>
        <w:rPr>
          <w:rFonts w:ascii="Calibri" w:eastAsia="Calibri" w:hAnsi="Calibri" w:cs="Calibri"/>
        </w:rPr>
        <w:t>postadministration</w:t>
      </w:r>
      <w:proofErr w:type="spellEnd"/>
      <w:r>
        <w:rPr>
          <w:rFonts w:ascii="Calibri" w:eastAsia="Calibri" w:hAnsi="Calibri" w:cs="Calibri"/>
        </w:rPr>
        <w:t>, which was the last time point measured</w:t>
      </w:r>
    </w:p>
    <w:p w14:paraId="28F8BAEA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- A recent pharmacodynamic study evaluating the thermal antinociceptive effects of hydromorphone in GHOWs at 0.3- and 0.6-mg/kg doses resulted in significantly higher mean thermal foot withdrawal thresholds at 0.5, 1.5, and 3 hours and at 0.5 and 1.5 hours, respectively</w:t>
      </w:r>
    </w:p>
    <w:p w14:paraId="6927779A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2A242B8F" w14:textId="77777777" w:rsidR="00BB376B" w:rsidRDefault="00BB376B" w:rsidP="00BB376B">
      <w:pPr>
        <w:rPr>
          <w:rFonts w:ascii="Calibri" w:eastAsia="Calibri" w:hAnsi="Calibri" w:cs="Calibri"/>
        </w:rPr>
      </w:pPr>
    </w:p>
    <w:p w14:paraId="48A7D3E8" w14:textId="77777777" w:rsidR="00BB376B" w:rsidRDefault="00BB376B" w:rsidP="00BB376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American Journal of Veterinary Research, 84(10), 2023</w:t>
      </w:r>
    </w:p>
    <w:p w14:paraId="697945A4" w14:textId="77777777" w:rsidR="00BB376B" w:rsidRDefault="00BB376B" w:rsidP="00BB376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Carrageenan-induced inflammation elicits behavioral changes in cockatiels (</w:t>
      </w:r>
      <w:r>
        <w:rPr>
          <w:rFonts w:ascii="Calibri" w:eastAsia="Calibri" w:hAnsi="Calibri" w:cs="Calibri"/>
          <w:b/>
          <w:i/>
        </w:rPr>
        <w:t>Nymphicus hollandicus</w:t>
      </w:r>
      <w:r>
        <w:rPr>
          <w:rFonts w:ascii="Calibri" w:eastAsia="Calibri" w:hAnsi="Calibri" w:cs="Calibri"/>
          <w:b/>
        </w:rPr>
        <w:t xml:space="preserve">) for potential pain scale development - </w:t>
      </w:r>
      <w:r>
        <w:rPr>
          <w:rFonts w:ascii="Calibri" w:eastAsia="Calibri" w:hAnsi="Calibri" w:cs="Calibri"/>
        </w:rPr>
        <w:t>reviewed by HSS</w:t>
      </w:r>
    </w:p>
    <w:p w14:paraId="6C71A707" w14:textId="77777777" w:rsidR="00BB376B" w:rsidRDefault="00BB376B" w:rsidP="00BB376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Nicole A. </w:t>
      </w:r>
      <w:proofErr w:type="spellStart"/>
      <w:r>
        <w:rPr>
          <w:rFonts w:ascii="Calibri" w:eastAsia="Calibri" w:hAnsi="Calibri" w:cs="Calibri"/>
        </w:rPr>
        <w:t>Mikoni</w:t>
      </w:r>
      <w:proofErr w:type="spellEnd"/>
      <w:r>
        <w:rPr>
          <w:rFonts w:ascii="Calibri" w:eastAsia="Calibri" w:hAnsi="Calibri" w:cs="Calibri"/>
        </w:rPr>
        <w:t xml:space="preserve"> DVM, David Sanchez-</w:t>
      </w:r>
      <w:proofErr w:type="spellStart"/>
      <w:r>
        <w:rPr>
          <w:rFonts w:ascii="Calibri" w:eastAsia="Calibri" w:hAnsi="Calibri" w:cs="Calibri"/>
        </w:rPr>
        <w:t>Migallon</w:t>
      </w:r>
      <w:proofErr w:type="spellEnd"/>
      <w:r>
        <w:rPr>
          <w:rFonts w:ascii="Calibri" w:eastAsia="Calibri" w:hAnsi="Calibri" w:cs="Calibri"/>
        </w:rPr>
        <w:t xml:space="preserve"> Guzman LV, MS, Hugues </w:t>
      </w:r>
      <w:proofErr w:type="spellStart"/>
      <w:r>
        <w:rPr>
          <w:rFonts w:ascii="Calibri" w:eastAsia="Calibri" w:hAnsi="Calibri" w:cs="Calibri"/>
        </w:rPr>
        <w:t>Beaufrere</w:t>
      </w:r>
      <w:proofErr w:type="spellEnd"/>
      <w:r>
        <w:rPr>
          <w:rFonts w:ascii="Calibri" w:eastAsia="Calibri" w:hAnsi="Calibri" w:cs="Calibri"/>
        </w:rPr>
        <w:t xml:space="preserve"> DVM, PhD, and Joanne R. Paul-Murphy DVM</w:t>
      </w:r>
    </w:p>
    <w:p w14:paraId="5F219A72" w14:textId="77777777" w:rsidR="00BB376B" w:rsidRDefault="00BB376B" w:rsidP="00BB376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719987AA" wp14:editId="29F67DC5">
            <wp:extent cx="1652256" cy="1055222"/>
            <wp:effectExtent l="0" t="0" r="0" b="0"/>
            <wp:docPr id="2" name="Picture 2" descr="A bird with a yellow and white 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ird with a yellow and white face&#10;&#10;Description automatically generated"/>
                    <pic:cNvPicPr preferRelativeResize="0"/>
                  </pic:nvPicPr>
                  <pic:blipFill>
                    <a:blip r:embed="rId7"/>
                    <a:srcRect t="14525"/>
                    <a:stretch>
                      <a:fillRect/>
                    </a:stretch>
                  </pic:blipFill>
                  <pic:spPr>
                    <a:xfrm>
                      <a:off x="0" y="0"/>
                      <a:ext cx="1652256" cy="1055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2EFEA0" w14:textId="77777777" w:rsidR="00BB376B" w:rsidRDefault="00BB376B" w:rsidP="00BB376B">
      <w:pPr>
        <w:rPr>
          <w:rFonts w:ascii="Calibri" w:eastAsia="Calibri" w:hAnsi="Calibri" w:cs="Calibri"/>
        </w:rPr>
      </w:pPr>
    </w:p>
    <w:p w14:paraId="50EB1997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  <w:b/>
        </w:rPr>
      </w:pPr>
    </w:p>
    <w:p w14:paraId="66418B0C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  <w:b/>
        </w:rPr>
      </w:pPr>
    </w:p>
    <w:p w14:paraId="7B80395A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  <w:b/>
        </w:rPr>
      </w:pPr>
    </w:p>
    <w:p w14:paraId="0125246A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</w:t>
      </w:r>
    </w:p>
    <w:p w14:paraId="08F2AD95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60F9F403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Which of the following behaviors was significantly increased in the control group compared to cockatiels that received carrageenan injections to induce inflammatory pain?</w:t>
      </w:r>
    </w:p>
    <w:p w14:paraId="7012F5FC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2273B371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 Burst preening</w:t>
      </w:r>
    </w:p>
    <w:p w14:paraId="4BB7C94C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B. Focal preening</w:t>
      </w:r>
    </w:p>
    <w:p w14:paraId="64B23AE1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C. Cage biting</w:t>
      </w:r>
    </w:p>
    <w:p w14:paraId="2489B483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D. Non-vigilant behavior</w:t>
      </w:r>
    </w:p>
    <w:p w14:paraId="51DED936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E. Holding of the body low </w:t>
      </w:r>
    </w:p>
    <w:p w14:paraId="6D3FBB5D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4103DB51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Answer: </w:t>
      </w:r>
      <w:r>
        <w:rPr>
          <w:rFonts w:ascii="Calibri" w:eastAsia="Calibri" w:hAnsi="Calibri" w:cs="Calibri"/>
        </w:rPr>
        <w:t>C</w:t>
      </w:r>
    </w:p>
    <w:p w14:paraId="4C018812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71CDE59D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Explanation: </w:t>
      </w:r>
    </w:p>
    <w:p w14:paraId="02EEB864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Treatment cockatiels exhibited significantly increased focal preening (q = .023) and increased burst preening (q = .036), while control cockatiels spent significantly more time in an upright stance (q = .036).</w:t>
      </w:r>
    </w:p>
    <w:p w14:paraId="1B248DA7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Additional variables of interest seen more frequently in treatment cockatiels included non–weight-bearing stance, holding of the body low, and being </w:t>
      </w:r>
      <w:proofErr w:type="spellStart"/>
      <w:r>
        <w:rPr>
          <w:rFonts w:ascii="Calibri" w:eastAsia="Calibri" w:hAnsi="Calibri" w:cs="Calibri"/>
        </w:rPr>
        <w:t>nonvigilant</w:t>
      </w:r>
      <w:proofErr w:type="spellEnd"/>
      <w:r>
        <w:rPr>
          <w:rFonts w:ascii="Calibri" w:eastAsia="Calibri" w:hAnsi="Calibri" w:cs="Calibri"/>
        </w:rPr>
        <w:t>.</w:t>
      </w:r>
    </w:p>
    <w:p w14:paraId="645AF16C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This contrasts with behaviors more likely to be expressed in control cockatiels such as time spent upright, drinking, and cage biting (environmental interaction)</w:t>
      </w:r>
    </w:p>
    <w:p w14:paraId="0FEC9E18" w14:textId="77777777" w:rsidR="00BB376B" w:rsidRDefault="00BB376B" w:rsidP="00BB376B">
      <w:pPr>
        <w:pBdr>
          <w:bottom w:val="single" w:sz="12" w:space="1" w:color="000000"/>
        </w:pBdr>
        <w:spacing w:line="240" w:lineRule="auto"/>
        <w:rPr>
          <w:rFonts w:ascii="Calibri" w:eastAsia="Calibri" w:hAnsi="Calibri" w:cs="Calibri"/>
        </w:rPr>
      </w:pPr>
    </w:p>
    <w:p w14:paraId="27EAC466" w14:textId="77777777" w:rsidR="00BB376B" w:rsidRDefault="00BB376B" w:rsidP="00BB376B"/>
    <w:p w14:paraId="0303D836" w14:textId="77777777" w:rsidR="00BB376B" w:rsidRDefault="00BB376B" w:rsidP="00BB376B"/>
    <w:p w14:paraId="7D9ED74A" w14:textId="77777777" w:rsidR="00BB376B" w:rsidRPr="001D183F" w:rsidRDefault="00BB376B" w:rsidP="00933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82C8AC" w14:textId="77777777" w:rsidR="009334C5" w:rsidRDefault="009334C5"/>
    <w:sectPr w:rsidR="009334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7A5B"/>
    <w:multiLevelType w:val="hybridMultilevel"/>
    <w:tmpl w:val="C41CE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E0E9D"/>
    <w:multiLevelType w:val="hybridMultilevel"/>
    <w:tmpl w:val="F3B404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5659E"/>
    <w:multiLevelType w:val="hybridMultilevel"/>
    <w:tmpl w:val="15862B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517DB"/>
    <w:multiLevelType w:val="hybridMultilevel"/>
    <w:tmpl w:val="44E200CC"/>
    <w:lvl w:ilvl="0" w:tplc="12083CD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4D811"/>
    <w:multiLevelType w:val="hybridMultilevel"/>
    <w:tmpl w:val="B2144E1A"/>
    <w:lvl w:ilvl="0" w:tplc="C5C81C9C">
      <w:start w:val="1"/>
      <w:numFmt w:val="upperLetter"/>
      <w:lvlText w:val="%1."/>
      <w:lvlJc w:val="left"/>
      <w:pPr>
        <w:ind w:left="720" w:hanging="360"/>
      </w:pPr>
    </w:lvl>
    <w:lvl w:ilvl="1" w:tplc="D376EE64">
      <w:start w:val="1"/>
      <w:numFmt w:val="lowerLetter"/>
      <w:lvlText w:val="%2."/>
      <w:lvlJc w:val="left"/>
      <w:pPr>
        <w:ind w:left="1440" w:hanging="360"/>
      </w:pPr>
    </w:lvl>
    <w:lvl w:ilvl="2" w:tplc="3258C392">
      <w:start w:val="1"/>
      <w:numFmt w:val="lowerRoman"/>
      <w:lvlText w:val="%3."/>
      <w:lvlJc w:val="right"/>
      <w:pPr>
        <w:ind w:left="2160" w:hanging="180"/>
      </w:pPr>
    </w:lvl>
    <w:lvl w:ilvl="3" w:tplc="547A2C96">
      <w:start w:val="1"/>
      <w:numFmt w:val="decimal"/>
      <w:lvlText w:val="%4."/>
      <w:lvlJc w:val="left"/>
      <w:pPr>
        <w:ind w:left="2880" w:hanging="360"/>
      </w:pPr>
    </w:lvl>
    <w:lvl w:ilvl="4" w:tplc="D12888B4">
      <w:start w:val="1"/>
      <w:numFmt w:val="lowerLetter"/>
      <w:lvlText w:val="%5."/>
      <w:lvlJc w:val="left"/>
      <w:pPr>
        <w:ind w:left="3600" w:hanging="360"/>
      </w:pPr>
    </w:lvl>
    <w:lvl w:ilvl="5" w:tplc="E50EE4D0">
      <w:start w:val="1"/>
      <w:numFmt w:val="lowerRoman"/>
      <w:lvlText w:val="%6."/>
      <w:lvlJc w:val="right"/>
      <w:pPr>
        <w:ind w:left="4320" w:hanging="180"/>
      </w:pPr>
    </w:lvl>
    <w:lvl w:ilvl="6" w:tplc="BF301366">
      <w:start w:val="1"/>
      <w:numFmt w:val="decimal"/>
      <w:lvlText w:val="%7."/>
      <w:lvlJc w:val="left"/>
      <w:pPr>
        <w:ind w:left="5040" w:hanging="360"/>
      </w:pPr>
    </w:lvl>
    <w:lvl w:ilvl="7" w:tplc="B50E7FDA">
      <w:start w:val="1"/>
      <w:numFmt w:val="lowerLetter"/>
      <w:lvlText w:val="%8."/>
      <w:lvlJc w:val="left"/>
      <w:pPr>
        <w:ind w:left="5760" w:hanging="360"/>
      </w:pPr>
    </w:lvl>
    <w:lvl w:ilvl="8" w:tplc="5C744F52">
      <w:start w:val="1"/>
      <w:numFmt w:val="lowerRoman"/>
      <w:lvlText w:val="%9."/>
      <w:lvlJc w:val="right"/>
      <w:pPr>
        <w:ind w:left="6480" w:hanging="180"/>
      </w:pPr>
    </w:lvl>
  </w:abstractNum>
  <w:num w:numId="1" w16cid:durableId="2091736402">
    <w:abstractNumId w:val="0"/>
  </w:num>
  <w:num w:numId="2" w16cid:durableId="588588160">
    <w:abstractNumId w:val="3"/>
  </w:num>
  <w:num w:numId="3" w16cid:durableId="669451373">
    <w:abstractNumId w:val="4"/>
  </w:num>
  <w:num w:numId="4" w16cid:durableId="571474751">
    <w:abstractNumId w:val="1"/>
  </w:num>
  <w:num w:numId="5" w16cid:durableId="1188249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F18"/>
    <w:rsid w:val="00510FB1"/>
    <w:rsid w:val="009334C5"/>
    <w:rsid w:val="00BB376B"/>
    <w:rsid w:val="00BB45CD"/>
    <w:rsid w:val="00BF5DBC"/>
    <w:rsid w:val="00CE7F18"/>
    <w:rsid w:val="00F1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1D2D21"/>
  <w15:chartTrackingRefBased/>
  <w15:docId w15:val="{A039641B-3B14-B545-B9A4-F3B1953C3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F18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7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7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7F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7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7F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7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7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7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7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F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7F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7F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7F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7F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7F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7F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7F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7F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7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7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7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7F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7F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7F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F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F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7F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oi.org/10.2460/ajvr.21.10.017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991</Words>
  <Characters>5651</Characters>
  <Application>Microsoft Office Word</Application>
  <DocSecurity>0</DocSecurity>
  <Lines>47</Lines>
  <Paragraphs>13</Paragraphs>
  <ScaleCrop>false</ScaleCrop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Roeder</dc:creator>
  <cp:keywords/>
  <dc:description/>
  <cp:lastModifiedBy>Tara Myers Harrison</cp:lastModifiedBy>
  <cp:revision>2</cp:revision>
  <dcterms:created xsi:type="dcterms:W3CDTF">2025-02-28T18:29:00Z</dcterms:created>
  <dcterms:modified xsi:type="dcterms:W3CDTF">2025-02-28T18:29:00Z</dcterms:modified>
</cp:coreProperties>
</file>