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F28E26" w14:textId="77777777" w:rsidR="00D31F31" w:rsidRPr="000C0431" w:rsidRDefault="00D31F31" w:rsidP="00D31F31">
      <w:pPr>
        <w:pStyle w:val="NormalWeb"/>
        <w:rPr>
          <w:rFonts w:ascii="Calibri" w:hAnsi="Calibri" w:cs="Calibri"/>
          <w:sz w:val="22"/>
          <w:szCs w:val="22"/>
        </w:rPr>
      </w:pPr>
      <w:r w:rsidRPr="006C30F4">
        <w:rPr>
          <w:rFonts w:ascii="Calibri" w:hAnsi="Calibri" w:cs="Calibri"/>
          <w:sz w:val="22"/>
          <w:szCs w:val="22"/>
        </w:rPr>
        <w:t xml:space="preserve">Journal of </w:t>
      </w:r>
      <w:r>
        <w:rPr>
          <w:rFonts w:ascii="Calibri" w:hAnsi="Calibri" w:cs="Calibri"/>
          <w:sz w:val="22"/>
          <w:szCs w:val="22"/>
        </w:rPr>
        <w:t>Zoo and Wildlife Medicine</w:t>
      </w:r>
      <w:r w:rsidRPr="006C30F4">
        <w:rPr>
          <w:rFonts w:ascii="Calibri" w:hAnsi="Calibri" w:cs="Calibri"/>
          <w:sz w:val="22"/>
          <w:szCs w:val="22"/>
        </w:rPr>
        <w:t xml:space="preserve">, </w:t>
      </w:r>
      <w:r>
        <w:rPr>
          <w:rFonts w:ascii="Calibri" w:hAnsi="Calibri" w:cs="Calibri"/>
          <w:sz w:val="22"/>
          <w:szCs w:val="22"/>
        </w:rPr>
        <w:t>55</w:t>
      </w:r>
      <w:r w:rsidRPr="006C30F4">
        <w:rPr>
          <w:rFonts w:ascii="Calibri" w:hAnsi="Calibri" w:cs="Calibri"/>
          <w:sz w:val="22"/>
          <w:szCs w:val="22"/>
        </w:rPr>
        <w:t>(</w:t>
      </w:r>
      <w:r>
        <w:rPr>
          <w:rFonts w:ascii="Calibri" w:hAnsi="Calibri" w:cs="Calibri"/>
          <w:sz w:val="22"/>
          <w:szCs w:val="22"/>
        </w:rPr>
        <w:t>1</w:t>
      </w:r>
      <w:r w:rsidRPr="006C30F4">
        <w:rPr>
          <w:rFonts w:ascii="Calibri" w:hAnsi="Calibri" w:cs="Calibri"/>
          <w:sz w:val="22"/>
          <w:szCs w:val="22"/>
        </w:rPr>
        <w:t xml:space="preserve">): </w:t>
      </w:r>
      <w:r>
        <w:rPr>
          <w:rFonts w:ascii="Calibri" w:hAnsi="Calibri" w:cs="Calibri"/>
          <w:sz w:val="22"/>
          <w:szCs w:val="22"/>
        </w:rPr>
        <w:t>125-135</w:t>
      </w:r>
      <w:r w:rsidRPr="006C30F4">
        <w:rPr>
          <w:rFonts w:ascii="Calibri" w:hAnsi="Calibri" w:cs="Calibri"/>
          <w:sz w:val="22"/>
          <w:szCs w:val="22"/>
        </w:rPr>
        <w:t>, 202</w:t>
      </w:r>
      <w:r>
        <w:rPr>
          <w:rFonts w:ascii="Calibri" w:hAnsi="Calibri" w:cs="Calibri"/>
          <w:sz w:val="22"/>
          <w:szCs w:val="22"/>
        </w:rPr>
        <w:t>4</w:t>
      </w:r>
      <w:r w:rsidRPr="006C30F4">
        <w:rPr>
          <w:rFonts w:ascii="Calibri" w:hAnsi="Calibri" w:cs="Calibri"/>
          <w:sz w:val="22"/>
          <w:szCs w:val="22"/>
        </w:rPr>
        <w:t>.</w:t>
      </w:r>
      <w:r w:rsidRPr="006C30F4">
        <w:rPr>
          <w:rFonts w:ascii="Calibri" w:hAnsi="Calibri" w:cs="Calibri"/>
          <w:b/>
          <w:bCs/>
          <w:sz w:val="22"/>
          <w:szCs w:val="22"/>
        </w:rPr>
        <w:t xml:space="preserve"> </w:t>
      </w:r>
      <w:r w:rsidRPr="006C30F4">
        <w:rPr>
          <w:rFonts w:ascii="Calibri" w:hAnsi="Calibri" w:cs="Calibri"/>
          <w:b/>
          <w:bCs/>
          <w:sz w:val="22"/>
          <w:szCs w:val="22"/>
        </w:rPr>
        <w:br/>
      </w:r>
      <w:r>
        <w:rPr>
          <w:rFonts w:ascii="Calibri" w:hAnsi="Calibri" w:cs="Calibri"/>
          <w:b/>
          <w:bCs/>
          <w:sz w:val="22"/>
          <w:szCs w:val="22"/>
        </w:rPr>
        <w:t>CHARACTERIZATION OF THE FUNGAL MICROBIOTA IN THE NOSTRILS AND RECTUM OF AMAZONIAN MANATEES (TRICHECHUS INUNGUIS) FROM A REHABILITATION PROGRAM IN BRAZIL</w:t>
      </w:r>
      <w:r>
        <w:rPr>
          <w:rFonts w:ascii="Calibri" w:hAnsi="Calibri" w:cs="Calibri"/>
          <w:sz w:val="22"/>
          <w:szCs w:val="22"/>
        </w:rPr>
        <w:br/>
      </w:r>
      <w:proofErr w:type="spellStart"/>
      <w:r>
        <w:rPr>
          <w:rFonts w:ascii="Calibri" w:hAnsi="Calibri" w:cs="Calibri"/>
          <w:sz w:val="22"/>
          <w:szCs w:val="22"/>
        </w:rPr>
        <w:t>Salene</w:t>
      </w:r>
      <w:proofErr w:type="spellEnd"/>
      <w:r>
        <w:rPr>
          <w:rFonts w:ascii="Calibri" w:hAnsi="Calibri" w:cs="Calibri"/>
          <w:sz w:val="22"/>
          <w:szCs w:val="22"/>
        </w:rPr>
        <w:t xml:space="preserve"> A Colombo, Daniela MD de Mello, Bruna RM </w:t>
      </w:r>
      <w:proofErr w:type="spellStart"/>
      <w:r>
        <w:rPr>
          <w:rFonts w:ascii="Calibri" w:hAnsi="Calibri" w:cs="Calibri"/>
          <w:sz w:val="22"/>
          <w:szCs w:val="22"/>
        </w:rPr>
        <w:t>Morais</w:t>
      </w:r>
      <w:proofErr w:type="spellEnd"/>
      <w:r>
        <w:rPr>
          <w:rFonts w:ascii="Calibri" w:hAnsi="Calibri" w:cs="Calibri"/>
          <w:sz w:val="22"/>
          <w:szCs w:val="22"/>
        </w:rPr>
        <w:t xml:space="preserve">, </w:t>
      </w:r>
      <w:proofErr w:type="spellStart"/>
      <w:r>
        <w:rPr>
          <w:rFonts w:ascii="Calibri" w:hAnsi="Calibri" w:cs="Calibri"/>
          <w:sz w:val="22"/>
          <w:szCs w:val="22"/>
        </w:rPr>
        <w:t>Lauranne</w:t>
      </w:r>
      <w:proofErr w:type="spellEnd"/>
      <w:r>
        <w:rPr>
          <w:rFonts w:ascii="Calibri" w:hAnsi="Calibri" w:cs="Calibri"/>
          <w:sz w:val="22"/>
          <w:szCs w:val="22"/>
        </w:rPr>
        <w:t xml:space="preserve"> A </w:t>
      </w:r>
      <w:proofErr w:type="spellStart"/>
      <w:r>
        <w:rPr>
          <w:rFonts w:ascii="Calibri" w:hAnsi="Calibri" w:cs="Calibri"/>
          <w:sz w:val="22"/>
          <w:szCs w:val="22"/>
        </w:rPr>
        <w:t>Salvato</w:t>
      </w:r>
      <w:proofErr w:type="spellEnd"/>
      <w:r>
        <w:rPr>
          <w:rFonts w:ascii="Calibri" w:hAnsi="Calibri" w:cs="Calibri"/>
          <w:sz w:val="22"/>
          <w:szCs w:val="22"/>
        </w:rPr>
        <w:t xml:space="preserve">, Fernanda A Dorella, Guilherme C Tavares, Vera MF da Silva, Maria I de Azevedo </w:t>
      </w:r>
      <w:r w:rsidRPr="006C30F4">
        <w:rPr>
          <w:rFonts w:ascii="Calibri" w:hAnsi="Calibri" w:cs="Calibri"/>
          <w:sz w:val="22"/>
          <w:szCs w:val="22"/>
        </w:rPr>
        <w:t>– Reviewed by LMM</w:t>
      </w:r>
    </w:p>
    <w:p w14:paraId="02443594" w14:textId="77777777" w:rsidR="00D31F31" w:rsidRPr="00050805" w:rsidRDefault="00D31F31" w:rsidP="00D31F31">
      <w:pPr>
        <w:rPr>
          <w:rFonts w:ascii="Calibri" w:hAnsi="Calibri" w:cs="Calibri"/>
          <w:b/>
          <w:bCs/>
          <w:sz w:val="22"/>
          <w:szCs w:val="22"/>
        </w:rPr>
      </w:pPr>
      <w:r w:rsidRPr="006C30F4">
        <w:rPr>
          <w:rFonts w:ascii="Calibri" w:hAnsi="Calibri" w:cs="Calibri"/>
          <w:b/>
          <w:bCs/>
          <w:sz w:val="22"/>
          <w:szCs w:val="22"/>
          <w:u w:val="single"/>
        </w:rPr>
        <w:t>Abstract:</w:t>
      </w:r>
      <w:r w:rsidRPr="0023254B">
        <w:rPr>
          <w:rFonts w:ascii="Calibri" w:hAnsi="Calibri" w:cs="Calibri"/>
          <w:sz w:val="22"/>
          <w:szCs w:val="22"/>
        </w:rPr>
        <w:t xml:space="preserve"> </w:t>
      </w:r>
      <w:r w:rsidRPr="00EE2F64">
        <w:rPr>
          <w:rFonts w:ascii="Calibri" w:hAnsi="Calibri" w:cs="Calibri"/>
          <w:sz w:val="22"/>
          <w:szCs w:val="22"/>
        </w:rPr>
        <w:t>The present study characterized the filamentous and yeast-like fungal microbiota of the nasal cavity and rectum of Amazonian manatees (</w:t>
      </w:r>
      <w:r w:rsidRPr="00EE2F64">
        <w:rPr>
          <w:rFonts w:ascii="Calibri" w:hAnsi="Calibri" w:cs="Calibri"/>
          <w:i/>
          <w:iCs/>
          <w:sz w:val="22"/>
          <w:szCs w:val="22"/>
        </w:rPr>
        <w:t xml:space="preserve">Trichechus </w:t>
      </w:r>
      <w:proofErr w:type="spellStart"/>
      <w:r w:rsidRPr="00EE2F64">
        <w:rPr>
          <w:rFonts w:ascii="Calibri" w:hAnsi="Calibri" w:cs="Calibri"/>
          <w:i/>
          <w:iCs/>
          <w:sz w:val="22"/>
          <w:szCs w:val="22"/>
        </w:rPr>
        <w:t>inunguis</w:t>
      </w:r>
      <w:proofErr w:type="spellEnd"/>
      <w:r w:rsidRPr="00EE2F64">
        <w:rPr>
          <w:rFonts w:ascii="Calibri" w:hAnsi="Calibri" w:cs="Calibri"/>
          <w:sz w:val="22"/>
          <w:szCs w:val="22"/>
        </w:rPr>
        <w:t>) undergoing rehabilitation at the Laboratory of Aquatic Mammals, National Institute of Amazonian Research, Manaus, Amazonas, and determined the antifungal susceptibility of these organisms</w:t>
      </w:r>
      <w:r w:rsidRPr="00430E56">
        <w:rPr>
          <w:rFonts w:ascii="Calibri" w:hAnsi="Calibri" w:cs="Calibri"/>
          <w:b/>
          <w:bCs/>
          <w:sz w:val="22"/>
          <w:szCs w:val="22"/>
        </w:rPr>
        <w:t>. Nasal and rectal swabs were collected from 22 calves and three juveniles.</w:t>
      </w:r>
      <w:r w:rsidRPr="00EE2F64">
        <w:rPr>
          <w:rFonts w:ascii="Calibri" w:hAnsi="Calibri" w:cs="Calibri"/>
          <w:sz w:val="22"/>
          <w:szCs w:val="22"/>
        </w:rPr>
        <w:t xml:space="preserve"> The samples were seeded in </w:t>
      </w:r>
      <w:proofErr w:type="spellStart"/>
      <w:r w:rsidRPr="00EE2F64">
        <w:rPr>
          <w:rFonts w:ascii="Calibri" w:hAnsi="Calibri" w:cs="Calibri"/>
          <w:sz w:val="22"/>
          <w:szCs w:val="22"/>
        </w:rPr>
        <w:t>Sabouraud</w:t>
      </w:r>
      <w:proofErr w:type="spellEnd"/>
      <w:r w:rsidRPr="00EE2F64">
        <w:rPr>
          <w:rFonts w:ascii="Calibri" w:hAnsi="Calibri" w:cs="Calibri"/>
          <w:sz w:val="22"/>
          <w:szCs w:val="22"/>
        </w:rPr>
        <w:t xml:space="preserve"> agar supplemented with chloramphenicol 10%, incubated at 26°C, and observed daily for up to 7 d. The growth of different filamentous and yeast-like fungi was observed among the two anatomical sites. Filamentous fungi were categorized by macro- and microscopic characteristics of the colonies. Representatives of each group were selected for molecular identification based on the internal transcribed spacer region. Yeast identification was performed using MALDI-TOF MS and molecular analyses. </w:t>
      </w:r>
      <w:r w:rsidRPr="00430E56">
        <w:rPr>
          <w:rFonts w:ascii="Calibri" w:hAnsi="Calibri" w:cs="Calibri"/>
          <w:b/>
          <w:bCs/>
          <w:sz w:val="22"/>
          <w:szCs w:val="22"/>
        </w:rPr>
        <w:t>Thirteen genera of filamentous fungi and six genera of yeasts were isolated and identified.</w:t>
      </w:r>
      <w:r w:rsidRPr="00EE2F64">
        <w:rPr>
          <w:rFonts w:ascii="Calibri" w:hAnsi="Calibri" w:cs="Calibri"/>
          <w:sz w:val="22"/>
          <w:szCs w:val="22"/>
        </w:rPr>
        <w:t xml:space="preserve"> </w:t>
      </w:r>
      <w:r w:rsidRPr="00430E56">
        <w:rPr>
          <w:rFonts w:ascii="Calibri" w:hAnsi="Calibri" w:cs="Calibri"/>
          <w:b/>
          <w:bCs/>
          <w:sz w:val="22"/>
          <w:szCs w:val="22"/>
        </w:rPr>
        <w:t>The dominant filamentous species were </w:t>
      </w:r>
      <w:r w:rsidRPr="00430E56">
        <w:rPr>
          <w:rFonts w:ascii="Calibri" w:hAnsi="Calibri" w:cs="Calibri"/>
          <w:b/>
          <w:bCs/>
          <w:i/>
          <w:iCs/>
          <w:sz w:val="22"/>
          <w:szCs w:val="22"/>
        </w:rPr>
        <w:t>Fusarium</w:t>
      </w:r>
      <w:r w:rsidRPr="00430E56">
        <w:rPr>
          <w:rFonts w:ascii="Calibri" w:hAnsi="Calibri" w:cs="Calibri"/>
          <w:b/>
          <w:bCs/>
          <w:sz w:val="22"/>
          <w:szCs w:val="22"/>
        </w:rPr>
        <w:t> spp., </w:t>
      </w:r>
      <w:r w:rsidRPr="00430E56">
        <w:rPr>
          <w:rFonts w:ascii="Calibri" w:hAnsi="Calibri" w:cs="Calibri"/>
          <w:b/>
          <w:bCs/>
          <w:i/>
          <w:iCs/>
          <w:sz w:val="22"/>
          <w:szCs w:val="22"/>
        </w:rPr>
        <w:t>Aspergillus</w:t>
      </w:r>
      <w:r w:rsidRPr="00430E56">
        <w:rPr>
          <w:rFonts w:ascii="Calibri" w:hAnsi="Calibri" w:cs="Calibri"/>
          <w:b/>
          <w:bCs/>
          <w:sz w:val="22"/>
          <w:szCs w:val="22"/>
        </w:rPr>
        <w:t> spp., and </w:t>
      </w:r>
      <w:proofErr w:type="spellStart"/>
      <w:r w:rsidRPr="00430E56">
        <w:rPr>
          <w:rFonts w:ascii="Calibri" w:hAnsi="Calibri" w:cs="Calibri"/>
          <w:b/>
          <w:bCs/>
          <w:i/>
          <w:iCs/>
          <w:sz w:val="22"/>
          <w:szCs w:val="22"/>
        </w:rPr>
        <w:t>Cochliobolus</w:t>
      </w:r>
      <w:proofErr w:type="spellEnd"/>
      <w:r w:rsidRPr="00430E56">
        <w:rPr>
          <w:rFonts w:ascii="Calibri" w:hAnsi="Calibri" w:cs="Calibri"/>
          <w:b/>
          <w:bCs/>
          <w:i/>
          <w:iCs/>
          <w:sz w:val="22"/>
          <w:szCs w:val="22"/>
        </w:rPr>
        <w:t xml:space="preserve"> lunatus</w:t>
      </w:r>
      <w:r w:rsidRPr="00430E56">
        <w:rPr>
          <w:rFonts w:ascii="Calibri" w:hAnsi="Calibri" w:cs="Calibri"/>
          <w:b/>
          <w:bCs/>
          <w:sz w:val="22"/>
          <w:szCs w:val="22"/>
        </w:rPr>
        <w:t xml:space="preserve"> in the nostril samples </w:t>
      </w:r>
      <w:r w:rsidRPr="00EE2F64">
        <w:rPr>
          <w:rFonts w:ascii="Calibri" w:hAnsi="Calibri" w:cs="Calibri"/>
          <w:sz w:val="22"/>
          <w:szCs w:val="22"/>
        </w:rPr>
        <w:t>and </w:t>
      </w:r>
      <w:r w:rsidRPr="00430E56">
        <w:rPr>
          <w:rFonts w:ascii="Calibri" w:hAnsi="Calibri" w:cs="Calibri"/>
          <w:b/>
          <w:bCs/>
          <w:i/>
          <w:iCs/>
          <w:sz w:val="22"/>
          <w:szCs w:val="22"/>
        </w:rPr>
        <w:t xml:space="preserve">Aspergillus </w:t>
      </w:r>
      <w:proofErr w:type="spellStart"/>
      <w:r w:rsidRPr="00430E56">
        <w:rPr>
          <w:rFonts w:ascii="Calibri" w:hAnsi="Calibri" w:cs="Calibri"/>
          <w:b/>
          <w:bCs/>
          <w:i/>
          <w:iCs/>
          <w:sz w:val="22"/>
          <w:szCs w:val="22"/>
        </w:rPr>
        <w:t>melleus</w:t>
      </w:r>
      <w:proofErr w:type="spellEnd"/>
      <w:r w:rsidRPr="00430E56">
        <w:rPr>
          <w:rFonts w:ascii="Calibri" w:hAnsi="Calibri" w:cs="Calibri"/>
          <w:b/>
          <w:bCs/>
          <w:sz w:val="22"/>
          <w:szCs w:val="22"/>
        </w:rPr>
        <w:t> in the rectal samples.</w:t>
      </w:r>
      <w:r w:rsidRPr="00EE2F64">
        <w:rPr>
          <w:rFonts w:ascii="Calibri" w:hAnsi="Calibri" w:cs="Calibri"/>
          <w:sz w:val="22"/>
          <w:szCs w:val="22"/>
        </w:rPr>
        <w:t> </w:t>
      </w:r>
      <w:r w:rsidRPr="00430E56">
        <w:rPr>
          <w:rFonts w:ascii="Calibri" w:hAnsi="Calibri" w:cs="Calibri"/>
          <w:b/>
          <w:bCs/>
          <w:i/>
          <w:iCs/>
          <w:sz w:val="22"/>
          <w:szCs w:val="22"/>
        </w:rPr>
        <w:t>Candida</w:t>
      </w:r>
      <w:r w:rsidRPr="00430E56">
        <w:rPr>
          <w:rFonts w:ascii="Calibri" w:hAnsi="Calibri" w:cs="Calibri"/>
          <w:b/>
          <w:bCs/>
          <w:sz w:val="22"/>
          <w:szCs w:val="22"/>
        </w:rPr>
        <w:t> was the dominant genus among the identified yeasts at both anatomical sites.</w:t>
      </w:r>
      <w:r w:rsidRPr="00EE2F64">
        <w:rPr>
          <w:rFonts w:ascii="Calibri" w:hAnsi="Calibri" w:cs="Calibri"/>
          <w:sz w:val="22"/>
          <w:szCs w:val="22"/>
        </w:rPr>
        <w:t xml:space="preserve"> In the antifungal susceptibility test, </w:t>
      </w:r>
      <w:r w:rsidRPr="00430E56">
        <w:rPr>
          <w:rFonts w:ascii="Calibri" w:hAnsi="Calibri" w:cs="Calibri"/>
          <w:b/>
          <w:bCs/>
          <w:sz w:val="22"/>
          <w:szCs w:val="22"/>
        </w:rPr>
        <w:t>28 isolates showed resistance to fluconazole (78%), itraconazole (39%), and nystatin (42%).</w:t>
      </w:r>
      <w:r w:rsidRPr="00EE2F64">
        <w:rPr>
          <w:rFonts w:ascii="Calibri" w:hAnsi="Calibri" w:cs="Calibri"/>
          <w:sz w:val="22"/>
          <w:szCs w:val="22"/>
        </w:rPr>
        <w:t xml:space="preserve"> The knowledge of fungal microbiota composition of Amazonian manatees provides information that assists in monitoring the health status of individuals maintained in captivity, as </w:t>
      </w:r>
      <w:r w:rsidRPr="00430E56">
        <w:rPr>
          <w:rFonts w:ascii="Calibri" w:hAnsi="Calibri" w:cs="Calibri"/>
          <w:b/>
          <w:bCs/>
          <w:sz w:val="22"/>
          <w:szCs w:val="22"/>
        </w:rPr>
        <w:t>these organisms can behave either as opportunists or as primary pathogens.</w:t>
      </w:r>
      <w:r w:rsidRPr="00EE2F64">
        <w:rPr>
          <w:rFonts w:ascii="Calibri" w:hAnsi="Calibri" w:cs="Calibri"/>
          <w:sz w:val="22"/>
          <w:szCs w:val="22"/>
        </w:rPr>
        <w:t xml:space="preserve"> Moreover, the composition and resistance of these organisms may vary among different rehabilitation institutions or different time frames of search, reinforcing the importance of constant in loco surveillance of these microorganisms. This study provides new perspectives on the fungal diversity in the microbiota of manatees and supports future studies concerning the clinical and epidemiological aspects and the impacts of these agents on the health of Amazonian manatees undergoing rehabilitation.</w:t>
      </w:r>
      <w:r w:rsidRPr="002C25E8">
        <w:rPr>
          <w:rFonts w:ascii="Calibri" w:hAnsi="Calibri" w:cs="Calibri"/>
          <w:sz w:val="22"/>
          <w:szCs w:val="22"/>
        </w:rPr>
        <w:t xml:space="preserve"> </w:t>
      </w:r>
    </w:p>
    <w:p w14:paraId="0DC82637" w14:textId="77777777" w:rsidR="00D31F31" w:rsidRPr="006C30F4" w:rsidRDefault="00D31F31" w:rsidP="00D31F31">
      <w:pPr>
        <w:rPr>
          <w:rFonts w:ascii="Calibri" w:hAnsi="Calibri" w:cs="Calibri"/>
          <w:b/>
          <w:bCs/>
          <w:sz w:val="22"/>
          <w:szCs w:val="22"/>
        </w:rPr>
      </w:pPr>
    </w:p>
    <w:p w14:paraId="526ECF58" w14:textId="77777777" w:rsidR="00D31F31" w:rsidRDefault="00D31F31" w:rsidP="00D31F31">
      <w:pPr>
        <w:rPr>
          <w:rFonts w:ascii="Calibri" w:hAnsi="Calibri" w:cs="Calibri"/>
          <w:b/>
          <w:bCs/>
          <w:sz w:val="22"/>
          <w:szCs w:val="22"/>
        </w:rPr>
      </w:pPr>
      <w:r w:rsidRPr="006C30F4">
        <w:rPr>
          <w:rFonts w:ascii="Calibri" w:hAnsi="Calibri" w:cs="Calibri"/>
          <w:b/>
          <w:bCs/>
          <w:sz w:val="22"/>
          <w:szCs w:val="22"/>
        </w:rPr>
        <w:t>Key Points:</w:t>
      </w:r>
    </w:p>
    <w:p w14:paraId="001538C4" w14:textId="77777777" w:rsidR="00D31F31" w:rsidRPr="00430E56" w:rsidRDefault="00D31F31" w:rsidP="00D31F31">
      <w:pPr>
        <w:pStyle w:val="ListParagraph"/>
        <w:numPr>
          <w:ilvl w:val="0"/>
          <w:numId w:val="1"/>
        </w:numPr>
        <w:rPr>
          <w:rFonts w:ascii="Calibri" w:hAnsi="Calibri" w:cs="Calibri"/>
          <w:b/>
          <w:bCs/>
          <w:sz w:val="22"/>
          <w:szCs w:val="22"/>
        </w:rPr>
      </w:pPr>
      <w:r>
        <w:rPr>
          <w:rFonts w:ascii="Calibri" w:hAnsi="Calibri" w:cs="Calibri"/>
          <w:sz w:val="22"/>
          <w:szCs w:val="22"/>
        </w:rPr>
        <w:t xml:space="preserve">Amazonian manatees in rehab typically are screened with nasal and rectal swabs for detection of </w:t>
      </w:r>
      <w:r w:rsidRPr="00430E56">
        <w:rPr>
          <w:rFonts w:ascii="Calibri" w:hAnsi="Calibri" w:cs="Calibri"/>
          <w:i/>
          <w:iCs/>
          <w:sz w:val="22"/>
          <w:szCs w:val="22"/>
        </w:rPr>
        <w:t>Salmonella</w:t>
      </w:r>
      <w:r>
        <w:rPr>
          <w:rFonts w:ascii="Calibri" w:hAnsi="Calibri" w:cs="Calibri"/>
          <w:sz w:val="22"/>
          <w:szCs w:val="22"/>
        </w:rPr>
        <w:t xml:space="preserve"> </w:t>
      </w:r>
      <w:proofErr w:type="spellStart"/>
      <w:r>
        <w:rPr>
          <w:rFonts w:ascii="Calibri" w:hAnsi="Calibri" w:cs="Calibri"/>
          <w:sz w:val="22"/>
          <w:szCs w:val="22"/>
        </w:rPr>
        <w:t>spp</w:t>
      </w:r>
      <w:proofErr w:type="spellEnd"/>
      <w:r>
        <w:rPr>
          <w:rFonts w:ascii="Calibri" w:hAnsi="Calibri" w:cs="Calibri"/>
          <w:sz w:val="22"/>
          <w:szCs w:val="22"/>
        </w:rPr>
        <w:t xml:space="preserve">, </w:t>
      </w:r>
      <w:r w:rsidRPr="00430E56">
        <w:rPr>
          <w:rFonts w:ascii="Calibri" w:hAnsi="Calibri" w:cs="Calibri"/>
          <w:i/>
          <w:iCs/>
          <w:sz w:val="22"/>
          <w:szCs w:val="22"/>
        </w:rPr>
        <w:t>Clostridium</w:t>
      </w:r>
      <w:r>
        <w:rPr>
          <w:rFonts w:ascii="Calibri" w:hAnsi="Calibri" w:cs="Calibri"/>
          <w:sz w:val="22"/>
          <w:szCs w:val="22"/>
        </w:rPr>
        <w:t xml:space="preserve"> </w:t>
      </w:r>
      <w:proofErr w:type="spellStart"/>
      <w:r>
        <w:rPr>
          <w:rFonts w:ascii="Calibri" w:hAnsi="Calibri" w:cs="Calibri"/>
          <w:sz w:val="22"/>
          <w:szCs w:val="22"/>
        </w:rPr>
        <w:t>spp</w:t>
      </w:r>
      <w:proofErr w:type="spellEnd"/>
      <w:r>
        <w:rPr>
          <w:rFonts w:ascii="Calibri" w:hAnsi="Calibri" w:cs="Calibri"/>
          <w:sz w:val="22"/>
          <w:szCs w:val="22"/>
        </w:rPr>
        <w:t xml:space="preserve">, and </w:t>
      </w:r>
      <w:r w:rsidRPr="00430E56">
        <w:rPr>
          <w:rFonts w:ascii="Calibri" w:hAnsi="Calibri" w:cs="Calibri"/>
          <w:i/>
          <w:iCs/>
          <w:sz w:val="22"/>
          <w:szCs w:val="22"/>
        </w:rPr>
        <w:t>Mycobacterium</w:t>
      </w:r>
      <w:r>
        <w:rPr>
          <w:rFonts w:ascii="Calibri" w:hAnsi="Calibri" w:cs="Calibri"/>
          <w:sz w:val="22"/>
          <w:szCs w:val="22"/>
        </w:rPr>
        <w:t xml:space="preserve"> </w:t>
      </w:r>
      <w:proofErr w:type="spellStart"/>
      <w:r>
        <w:rPr>
          <w:rFonts w:ascii="Calibri" w:hAnsi="Calibri" w:cs="Calibri"/>
          <w:sz w:val="22"/>
          <w:szCs w:val="22"/>
        </w:rPr>
        <w:t>spp</w:t>
      </w:r>
      <w:proofErr w:type="spellEnd"/>
      <w:r>
        <w:rPr>
          <w:rFonts w:ascii="Calibri" w:hAnsi="Calibri" w:cs="Calibri"/>
          <w:sz w:val="22"/>
          <w:szCs w:val="22"/>
        </w:rPr>
        <w:t xml:space="preserve"> as well as parasitic diseases like giardiasis and cryptosporidiosis prior to release. All these org’s have been found in manatees.</w:t>
      </w:r>
    </w:p>
    <w:p w14:paraId="492F69DB" w14:textId="77777777" w:rsidR="00D31F31" w:rsidRPr="007F46BF" w:rsidRDefault="00D31F31" w:rsidP="00D31F31">
      <w:pPr>
        <w:pStyle w:val="ListParagraph"/>
        <w:numPr>
          <w:ilvl w:val="0"/>
          <w:numId w:val="1"/>
        </w:numPr>
        <w:rPr>
          <w:rFonts w:ascii="Calibri" w:hAnsi="Calibri" w:cs="Calibri"/>
          <w:b/>
          <w:bCs/>
          <w:sz w:val="22"/>
          <w:szCs w:val="22"/>
        </w:rPr>
      </w:pPr>
      <w:r>
        <w:rPr>
          <w:rFonts w:ascii="Calibri" w:hAnsi="Calibri" w:cs="Calibri"/>
          <w:sz w:val="22"/>
          <w:szCs w:val="22"/>
        </w:rPr>
        <w:t>All individuals sampled were considered healthy at time of collection</w:t>
      </w:r>
    </w:p>
    <w:p w14:paraId="3AFCC84F" w14:textId="77777777" w:rsidR="00D31F31" w:rsidRPr="00D91790" w:rsidRDefault="00D31F31" w:rsidP="00D31F31">
      <w:pPr>
        <w:pStyle w:val="ListParagraph"/>
        <w:numPr>
          <w:ilvl w:val="0"/>
          <w:numId w:val="1"/>
        </w:numPr>
        <w:rPr>
          <w:rFonts w:ascii="Calibri" w:hAnsi="Calibri" w:cs="Calibri"/>
          <w:b/>
          <w:bCs/>
          <w:sz w:val="22"/>
          <w:szCs w:val="22"/>
        </w:rPr>
      </w:pPr>
      <w:r>
        <w:rPr>
          <w:rFonts w:ascii="Calibri" w:hAnsi="Calibri" w:cs="Calibri"/>
          <w:sz w:val="22"/>
          <w:szCs w:val="22"/>
        </w:rPr>
        <w:t xml:space="preserve">21 species of filamentous fungi within 13 different genera were isolated </w:t>
      </w:r>
    </w:p>
    <w:p w14:paraId="0E9D4656" w14:textId="77777777" w:rsidR="00D31F31" w:rsidRPr="00116458" w:rsidRDefault="00D31F31" w:rsidP="00D31F31">
      <w:pPr>
        <w:pStyle w:val="ListParagraph"/>
        <w:numPr>
          <w:ilvl w:val="0"/>
          <w:numId w:val="1"/>
        </w:numPr>
        <w:rPr>
          <w:rFonts w:ascii="Calibri" w:hAnsi="Calibri" w:cs="Calibri"/>
          <w:b/>
          <w:bCs/>
          <w:sz w:val="22"/>
          <w:szCs w:val="22"/>
        </w:rPr>
      </w:pPr>
      <w:r>
        <w:rPr>
          <w:rFonts w:ascii="Calibri" w:hAnsi="Calibri" w:cs="Calibri"/>
          <w:sz w:val="22"/>
          <w:szCs w:val="22"/>
        </w:rPr>
        <w:t xml:space="preserve">The dominant species or genera of filamentous fungi were </w:t>
      </w:r>
    </w:p>
    <w:p w14:paraId="429FF73B" w14:textId="77777777" w:rsidR="00D31F31" w:rsidRPr="00116458" w:rsidRDefault="00D31F31" w:rsidP="00D31F31">
      <w:pPr>
        <w:pStyle w:val="ListParagraph"/>
        <w:numPr>
          <w:ilvl w:val="1"/>
          <w:numId w:val="1"/>
        </w:numPr>
        <w:rPr>
          <w:rFonts w:ascii="Calibri" w:hAnsi="Calibri" w:cs="Calibri"/>
          <w:b/>
          <w:bCs/>
          <w:sz w:val="22"/>
          <w:szCs w:val="22"/>
        </w:rPr>
      </w:pPr>
      <w:r>
        <w:rPr>
          <w:rFonts w:ascii="Calibri" w:hAnsi="Calibri" w:cs="Calibri"/>
          <w:sz w:val="22"/>
          <w:szCs w:val="22"/>
        </w:rPr>
        <w:t xml:space="preserve">Both Anatomical Sites = </w:t>
      </w:r>
      <w:r w:rsidRPr="00116458">
        <w:rPr>
          <w:rFonts w:ascii="Calibri" w:hAnsi="Calibri" w:cs="Calibri"/>
          <w:i/>
          <w:iCs/>
          <w:sz w:val="22"/>
          <w:szCs w:val="22"/>
        </w:rPr>
        <w:t xml:space="preserve">Penicillium </w:t>
      </w:r>
      <w:proofErr w:type="spellStart"/>
      <w:r w:rsidRPr="00116458">
        <w:rPr>
          <w:rFonts w:ascii="Calibri" w:hAnsi="Calibri" w:cs="Calibri"/>
          <w:i/>
          <w:iCs/>
          <w:sz w:val="22"/>
          <w:szCs w:val="22"/>
        </w:rPr>
        <w:t>citrinum</w:t>
      </w:r>
      <w:proofErr w:type="spellEnd"/>
      <w:r>
        <w:rPr>
          <w:rFonts w:ascii="Calibri" w:hAnsi="Calibri" w:cs="Calibri"/>
          <w:sz w:val="22"/>
          <w:szCs w:val="22"/>
        </w:rPr>
        <w:t xml:space="preserve"> and </w:t>
      </w:r>
      <w:proofErr w:type="spellStart"/>
      <w:r w:rsidRPr="00116458">
        <w:rPr>
          <w:rFonts w:ascii="Calibri" w:hAnsi="Calibri" w:cs="Calibri"/>
          <w:i/>
          <w:iCs/>
          <w:sz w:val="22"/>
          <w:szCs w:val="22"/>
        </w:rPr>
        <w:t>Pestalotiopsis</w:t>
      </w:r>
      <w:proofErr w:type="spellEnd"/>
      <w:r>
        <w:rPr>
          <w:rFonts w:ascii="Calibri" w:hAnsi="Calibri" w:cs="Calibri"/>
          <w:sz w:val="22"/>
          <w:szCs w:val="22"/>
        </w:rPr>
        <w:t xml:space="preserve"> </w:t>
      </w:r>
      <w:proofErr w:type="spellStart"/>
      <w:r>
        <w:rPr>
          <w:rFonts w:ascii="Calibri" w:hAnsi="Calibri" w:cs="Calibri"/>
          <w:sz w:val="22"/>
          <w:szCs w:val="22"/>
        </w:rPr>
        <w:t>sp</w:t>
      </w:r>
      <w:proofErr w:type="spellEnd"/>
    </w:p>
    <w:p w14:paraId="0DDC6FCC" w14:textId="77777777" w:rsidR="00D31F31" w:rsidRPr="00116458" w:rsidRDefault="00D31F31" w:rsidP="00D31F31">
      <w:pPr>
        <w:pStyle w:val="ListParagraph"/>
        <w:numPr>
          <w:ilvl w:val="1"/>
          <w:numId w:val="1"/>
        </w:numPr>
        <w:rPr>
          <w:rFonts w:ascii="Calibri" w:hAnsi="Calibri" w:cs="Calibri"/>
          <w:b/>
          <w:bCs/>
          <w:sz w:val="22"/>
          <w:szCs w:val="22"/>
        </w:rPr>
      </w:pPr>
      <w:r>
        <w:rPr>
          <w:rFonts w:ascii="Calibri" w:hAnsi="Calibri" w:cs="Calibri"/>
          <w:sz w:val="22"/>
          <w:szCs w:val="22"/>
        </w:rPr>
        <w:t xml:space="preserve">Nostril = </w:t>
      </w:r>
      <w:r w:rsidRPr="00116458">
        <w:rPr>
          <w:rFonts w:ascii="Calibri" w:hAnsi="Calibri" w:cs="Calibri"/>
          <w:i/>
          <w:iCs/>
          <w:sz w:val="22"/>
          <w:szCs w:val="22"/>
        </w:rPr>
        <w:t>Fusarium</w:t>
      </w:r>
      <w:r>
        <w:rPr>
          <w:rFonts w:ascii="Calibri" w:hAnsi="Calibri" w:cs="Calibri"/>
          <w:sz w:val="22"/>
          <w:szCs w:val="22"/>
        </w:rPr>
        <w:t xml:space="preserve"> </w:t>
      </w:r>
      <w:proofErr w:type="spellStart"/>
      <w:r>
        <w:rPr>
          <w:rFonts w:ascii="Calibri" w:hAnsi="Calibri" w:cs="Calibri"/>
          <w:sz w:val="22"/>
          <w:szCs w:val="22"/>
        </w:rPr>
        <w:t>sp</w:t>
      </w:r>
      <w:proofErr w:type="spellEnd"/>
      <w:r>
        <w:rPr>
          <w:rFonts w:ascii="Calibri" w:hAnsi="Calibri" w:cs="Calibri"/>
          <w:sz w:val="22"/>
          <w:szCs w:val="22"/>
        </w:rPr>
        <w:t xml:space="preserve">, </w:t>
      </w:r>
      <w:r w:rsidRPr="00116458">
        <w:rPr>
          <w:rFonts w:ascii="Calibri" w:hAnsi="Calibri" w:cs="Calibri"/>
          <w:i/>
          <w:iCs/>
          <w:sz w:val="22"/>
          <w:szCs w:val="22"/>
        </w:rPr>
        <w:t>Aspergillus</w:t>
      </w:r>
      <w:r>
        <w:rPr>
          <w:rFonts w:ascii="Calibri" w:hAnsi="Calibri" w:cs="Calibri"/>
          <w:sz w:val="22"/>
          <w:szCs w:val="22"/>
        </w:rPr>
        <w:t xml:space="preserve"> </w:t>
      </w:r>
      <w:proofErr w:type="spellStart"/>
      <w:r>
        <w:rPr>
          <w:rFonts w:ascii="Calibri" w:hAnsi="Calibri" w:cs="Calibri"/>
          <w:sz w:val="22"/>
          <w:szCs w:val="22"/>
        </w:rPr>
        <w:t>sp</w:t>
      </w:r>
      <w:proofErr w:type="spellEnd"/>
      <w:r>
        <w:rPr>
          <w:rFonts w:ascii="Calibri" w:hAnsi="Calibri" w:cs="Calibri"/>
          <w:sz w:val="22"/>
          <w:szCs w:val="22"/>
        </w:rPr>
        <w:t xml:space="preserve">, </w:t>
      </w:r>
      <w:proofErr w:type="spellStart"/>
      <w:r w:rsidRPr="00116458">
        <w:rPr>
          <w:rFonts w:ascii="Calibri" w:hAnsi="Calibri" w:cs="Calibri"/>
          <w:i/>
          <w:iCs/>
          <w:sz w:val="22"/>
          <w:szCs w:val="22"/>
        </w:rPr>
        <w:t>Cochliobolus</w:t>
      </w:r>
      <w:proofErr w:type="spellEnd"/>
      <w:r>
        <w:rPr>
          <w:rFonts w:ascii="Calibri" w:hAnsi="Calibri" w:cs="Calibri"/>
          <w:sz w:val="22"/>
          <w:szCs w:val="22"/>
        </w:rPr>
        <w:t xml:space="preserve"> lunatus</w:t>
      </w:r>
    </w:p>
    <w:p w14:paraId="5CB9A506" w14:textId="77777777" w:rsidR="00D31F31" w:rsidRPr="00D91790" w:rsidRDefault="00D31F31" w:rsidP="00D31F31">
      <w:pPr>
        <w:pStyle w:val="ListParagraph"/>
        <w:numPr>
          <w:ilvl w:val="1"/>
          <w:numId w:val="1"/>
        </w:numPr>
        <w:rPr>
          <w:rFonts w:ascii="Calibri" w:hAnsi="Calibri" w:cs="Calibri"/>
          <w:b/>
          <w:bCs/>
          <w:sz w:val="22"/>
          <w:szCs w:val="22"/>
        </w:rPr>
      </w:pPr>
      <w:r>
        <w:rPr>
          <w:rFonts w:ascii="Calibri" w:hAnsi="Calibri" w:cs="Calibri"/>
          <w:sz w:val="22"/>
          <w:szCs w:val="22"/>
        </w:rPr>
        <w:t xml:space="preserve">Rectal = Aspergillus </w:t>
      </w:r>
      <w:proofErr w:type="spellStart"/>
      <w:r>
        <w:rPr>
          <w:rFonts w:ascii="Calibri" w:hAnsi="Calibri" w:cs="Calibri"/>
          <w:sz w:val="22"/>
          <w:szCs w:val="22"/>
        </w:rPr>
        <w:t>melleus</w:t>
      </w:r>
      <w:proofErr w:type="spellEnd"/>
    </w:p>
    <w:p w14:paraId="58FCAEB2" w14:textId="77777777" w:rsidR="00D31F31" w:rsidRPr="007F46BF" w:rsidRDefault="00D31F31" w:rsidP="00D31F31">
      <w:pPr>
        <w:pStyle w:val="ListParagraph"/>
        <w:numPr>
          <w:ilvl w:val="0"/>
          <w:numId w:val="1"/>
        </w:numPr>
        <w:rPr>
          <w:rFonts w:ascii="Calibri" w:hAnsi="Calibri" w:cs="Calibri"/>
          <w:b/>
          <w:bCs/>
          <w:sz w:val="22"/>
          <w:szCs w:val="22"/>
        </w:rPr>
      </w:pPr>
      <w:r>
        <w:rPr>
          <w:rFonts w:ascii="Calibri" w:hAnsi="Calibri" w:cs="Calibri"/>
          <w:sz w:val="22"/>
          <w:szCs w:val="22"/>
        </w:rPr>
        <w:t xml:space="preserve">The most common filamentous fungi isolated, </w:t>
      </w:r>
      <w:r w:rsidRPr="007F46BF">
        <w:rPr>
          <w:rFonts w:ascii="Calibri" w:hAnsi="Calibri" w:cs="Calibri"/>
          <w:i/>
          <w:iCs/>
          <w:sz w:val="22"/>
          <w:szCs w:val="22"/>
        </w:rPr>
        <w:t xml:space="preserve">Penicillium </w:t>
      </w:r>
      <w:proofErr w:type="spellStart"/>
      <w:r w:rsidRPr="007F46BF">
        <w:rPr>
          <w:rFonts w:ascii="Calibri" w:hAnsi="Calibri" w:cs="Calibri"/>
          <w:i/>
          <w:iCs/>
          <w:sz w:val="22"/>
          <w:szCs w:val="22"/>
        </w:rPr>
        <w:t>citrinum</w:t>
      </w:r>
      <w:proofErr w:type="spellEnd"/>
      <w:r>
        <w:rPr>
          <w:rFonts w:ascii="Calibri" w:hAnsi="Calibri" w:cs="Calibri"/>
          <w:sz w:val="22"/>
          <w:szCs w:val="22"/>
        </w:rPr>
        <w:t>, was resistant to all antifungal drugs tested (fluconazole, itraconazole, and nystatin)</w:t>
      </w:r>
    </w:p>
    <w:p w14:paraId="70C6C27F" w14:textId="77777777" w:rsidR="00D31F31" w:rsidRPr="00D91790" w:rsidRDefault="00D31F31" w:rsidP="00D31F31">
      <w:pPr>
        <w:pStyle w:val="ListParagraph"/>
        <w:numPr>
          <w:ilvl w:val="1"/>
          <w:numId w:val="1"/>
        </w:numPr>
        <w:rPr>
          <w:rFonts w:ascii="Calibri" w:hAnsi="Calibri" w:cs="Calibri"/>
          <w:b/>
          <w:bCs/>
          <w:sz w:val="22"/>
          <w:szCs w:val="22"/>
        </w:rPr>
      </w:pPr>
      <w:r>
        <w:rPr>
          <w:rFonts w:ascii="Calibri" w:hAnsi="Calibri" w:cs="Calibri"/>
          <w:sz w:val="22"/>
          <w:szCs w:val="22"/>
        </w:rPr>
        <w:t xml:space="preserve">Common fungi worldwide, inhabits indoor and outdoor environments, found in cereal grains, vegetables, and fruits; produce mycotoxin called citrine that can be toxic to kidneys and </w:t>
      </w:r>
      <w:proofErr w:type="gramStart"/>
      <w:r>
        <w:rPr>
          <w:rFonts w:ascii="Calibri" w:hAnsi="Calibri" w:cs="Calibri"/>
          <w:sz w:val="22"/>
          <w:szCs w:val="22"/>
        </w:rPr>
        <w:t>liver</w:t>
      </w:r>
      <w:proofErr w:type="gramEnd"/>
      <w:r>
        <w:rPr>
          <w:rFonts w:ascii="Calibri" w:hAnsi="Calibri" w:cs="Calibri"/>
          <w:sz w:val="22"/>
          <w:szCs w:val="22"/>
        </w:rPr>
        <w:t xml:space="preserve"> but it is rarely lethal in humans </w:t>
      </w:r>
    </w:p>
    <w:p w14:paraId="14206831" w14:textId="77777777" w:rsidR="00D31F31" w:rsidRPr="00116458" w:rsidRDefault="00D31F31" w:rsidP="00D31F31">
      <w:pPr>
        <w:pStyle w:val="ListParagraph"/>
        <w:numPr>
          <w:ilvl w:val="0"/>
          <w:numId w:val="1"/>
        </w:numPr>
        <w:rPr>
          <w:rFonts w:ascii="Calibri" w:hAnsi="Calibri" w:cs="Calibri"/>
          <w:b/>
          <w:bCs/>
          <w:sz w:val="22"/>
          <w:szCs w:val="22"/>
        </w:rPr>
      </w:pPr>
      <w:r>
        <w:rPr>
          <w:rFonts w:ascii="Calibri" w:hAnsi="Calibri" w:cs="Calibri"/>
          <w:sz w:val="22"/>
          <w:szCs w:val="22"/>
        </w:rPr>
        <w:t xml:space="preserve">Another common </w:t>
      </w:r>
      <w:proofErr w:type="gramStart"/>
      <w:r>
        <w:rPr>
          <w:rFonts w:ascii="Calibri" w:hAnsi="Calibri" w:cs="Calibri"/>
          <w:sz w:val="22"/>
          <w:szCs w:val="22"/>
        </w:rPr>
        <w:t>fungi</w:t>
      </w:r>
      <w:proofErr w:type="gramEnd"/>
      <w:r>
        <w:rPr>
          <w:rFonts w:ascii="Calibri" w:hAnsi="Calibri" w:cs="Calibri"/>
          <w:sz w:val="22"/>
          <w:szCs w:val="22"/>
        </w:rPr>
        <w:t xml:space="preserve"> isolated was Aspergillus </w:t>
      </w:r>
      <w:proofErr w:type="spellStart"/>
      <w:r>
        <w:rPr>
          <w:rFonts w:ascii="Calibri" w:hAnsi="Calibri" w:cs="Calibri"/>
          <w:sz w:val="22"/>
          <w:szCs w:val="22"/>
        </w:rPr>
        <w:t>spp</w:t>
      </w:r>
      <w:proofErr w:type="spellEnd"/>
      <w:r>
        <w:rPr>
          <w:rFonts w:ascii="Calibri" w:hAnsi="Calibri" w:cs="Calibri"/>
          <w:sz w:val="22"/>
          <w:szCs w:val="22"/>
        </w:rPr>
        <w:t xml:space="preserve">; This is frequently isolated from the respiratory tract of marine mammals </w:t>
      </w:r>
    </w:p>
    <w:p w14:paraId="3A49E26A" w14:textId="77777777" w:rsidR="00D31F31" w:rsidRPr="00116458" w:rsidRDefault="00D31F31" w:rsidP="00D31F31">
      <w:pPr>
        <w:pStyle w:val="ListParagraph"/>
        <w:numPr>
          <w:ilvl w:val="0"/>
          <w:numId w:val="1"/>
        </w:numPr>
        <w:rPr>
          <w:rFonts w:ascii="Calibri" w:hAnsi="Calibri" w:cs="Calibri"/>
          <w:b/>
          <w:bCs/>
          <w:sz w:val="22"/>
          <w:szCs w:val="22"/>
        </w:rPr>
      </w:pPr>
      <w:r>
        <w:rPr>
          <w:rFonts w:ascii="Calibri" w:hAnsi="Calibri" w:cs="Calibri"/>
          <w:sz w:val="22"/>
          <w:szCs w:val="22"/>
        </w:rPr>
        <w:t>The dominant species of yeast were</w:t>
      </w:r>
    </w:p>
    <w:p w14:paraId="3F7FC257" w14:textId="77777777" w:rsidR="00D31F31" w:rsidRPr="00D91790" w:rsidRDefault="00D31F31" w:rsidP="00D31F31">
      <w:pPr>
        <w:pStyle w:val="ListParagraph"/>
        <w:numPr>
          <w:ilvl w:val="1"/>
          <w:numId w:val="1"/>
        </w:numPr>
        <w:rPr>
          <w:rFonts w:ascii="Calibri" w:hAnsi="Calibri" w:cs="Calibri"/>
          <w:b/>
          <w:bCs/>
          <w:sz w:val="22"/>
          <w:szCs w:val="22"/>
        </w:rPr>
      </w:pPr>
      <w:r>
        <w:rPr>
          <w:rFonts w:ascii="Calibri" w:hAnsi="Calibri" w:cs="Calibri"/>
          <w:sz w:val="22"/>
          <w:szCs w:val="22"/>
        </w:rPr>
        <w:lastRenderedPageBreak/>
        <w:t xml:space="preserve">Both Anatomical Sites = </w:t>
      </w:r>
      <w:r w:rsidRPr="00116458">
        <w:rPr>
          <w:rFonts w:ascii="Calibri" w:hAnsi="Calibri" w:cs="Calibri"/>
          <w:i/>
          <w:iCs/>
          <w:sz w:val="22"/>
          <w:szCs w:val="22"/>
        </w:rPr>
        <w:t>Candida</w:t>
      </w:r>
      <w:r>
        <w:rPr>
          <w:rFonts w:ascii="Calibri" w:hAnsi="Calibri" w:cs="Calibri"/>
          <w:sz w:val="22"/>
          <w:szCs w:val="22"/>
        </w:rPr>
        <w:t xml:space="preserve"> </w:t>
      </w:r>
      <w:proofErr w:type="spellStart"/>
      <w:r>
        <w:rPr>
          <w:rFonts w:ascii="Calibri" w:hAnsi="Calibri" w:cs="Calibri"/>
          <w:sz w:val="22"/>
          <w:szCs w:val="22"/>
        </w:rPr>
        <w:t>spp</w:t>
      </w:r>
      <w:proofErr w:type="spellEnd"/>
      <w:r>
        <w:rPr>
          <w:rFonts w:ascii="Calibri" w:hAnsi="Calibri" w:cs="Calibri"/>
          <w:sz w:val="22"/>
          <w:szCs w:val="22"/>
        </w:rPr>
        <w:t>, (</w:t>
      </w:r>
      <w:r w:rsidRPr="00116458">
        <w:rPr>
          <w:rFonts w:ascii="Calibri" w:hAnsi="Calibri" w:cs="Calibri"/>
          <w:i/>
          <w:iCs/>
          <w:sz w:val="22"/>
          <w:szCs w:val="22"/>
        </w:rPr>
        <w:t xml:space="preserve">Candida </w:t>
      </w:r>
      <w:proofErr w:type="spellStart"/>
      <w:r w:rsidRPr="00116458">
        <w:rPr>
          <w:rFonts w:ascii="Calibri" w:hAnsi="Calibri" w:cs="Calibri"/>
          <w:i/>
          <w:iCs/>
          <w:sz w:val="22"/>
          <w:szCs w:val="22"/>
        </w:rPr>
        <w:t>orthopsilosis</w:t>
      </w:r>
      <w:proofErr w:type="spellEnd"/>
      <w:r>
        <w:rPr>
          <w:rFonts w:ascii="Calibri" w:hAnsi="Calibri" w:cs="Calibri"/>
          <w:sz w:val="22"/>
          <w:szCs w:val="22"/>
        </w:rPr>
        <w:t xml:space="preserve"> and </w:t>
      </w:r>
      <w:r w:rsidRPr="00116458">
        <w:rPr>
          <w:rFonts w:ascii="Calibri" w:hAnsi="Calibri" w:cs="Calibri"/>
          <w:i/>
          <w:iCs/>
          <w:sz w:val="22"/>
          <w:szCs w:val="22"/>
        </w:rPr>
        <w:t xml:space="preserve">Candida </w:t>
      </w:r>
      <w:proofErr w:type="spellStart"/>
      <w:r w:rsidRPr="00116458">
        <w:rPr>
          <w:rFonts w:ascii="Calibri" w:hAnsi="Calibri" w:cs="Calibri"/>
          <w:i/>
          <w:iCs/>
          <w:sz w:val="22"/>
          <w:szCs w:val="22"/>
        </w:rPr>
        <w:t>parapsilosis</w:t>
      </w:r>
      <w:proofErr w:type="spellEnd"/>
      <w:r>
        <w:rPr>
          <w:rFonts w:ascii="Calibri" w:hAnsi="Calibri" w:cs="Calibri"/>
          <w:sz w:val="22"/>
          <w:szCs w:val="22"/>
        </w:rPr>
        <w:t xml:space="preserve"> were the main species identified but most isolates were classified as </w:t>
      </w:r>
      <w:r w:rsidRPr="00116458">
        <w:rPr>
          <w:rFonts w:ascii="Calibri" w:hAnsi="Calibri" w:cs="Calibri"/>
          <w:i/>
          <w:iCs/>
          <w:sz w:val="22"/>
          <w:szCs w:val="22"/>
        </w:rPr>
        <w:t>Candida</w:t>
      </w:r>
      <w:r>
        <w:rPr>
          <w:rFonts w:ascii="Calibri" w:hAnsi="Calibri" w:cs="Calibri"/>
          <w:sz w:val="22"/>
          <w:szCs w:val="22"/>
        </w:rPr>
        <w:t xml:space="preserve"> </w:t>
      </w:r>
      <w:proofErr w:type="spellStart"/>
      <w:r>
        <w:rPr>
          <w:rFonts w:ascii="Calibri" w:hAnsi="Calibri" w:cs="Calibri"/>
          <w:sz w:val="22"/>
          <w:szCs w:val="22"/>
        </w:rPr>
        <w:t>spp</w:t>
      </w:r>
      <w:proofErr w:type="spellEnd"/>
      <w:r>
        <w:rPr>
          <w:rFonts w:ascii="Calibri" w:hAnsi="Calibri" w:cs="Calibri"/>
          <w:sz w:val="22"/>
          <w:szCs w:val="22"/>
        </w:rPr>
        <w:t>)</w:t>
      </w:r>
    </w:p>
    <w:p w14:paraId="234F6889" w14:textId="77777777" w:rsidR="00D31F31" w:rsidRPr="00D91790" w:rsidRDefault="00D31F31" w:rsidP="00D31F31">
      <w:pPr>
        <w:pStyle w:val="ListParagraph"/>
        <w:numPr>
          <w:ilvl w:val="1"/>
          <w:numId w:val="1"/>
        </w:numPr>
        <w:rPr>
          <w:rFonts w:ascii="Calibri" w:hAnsi="Calibri" w:cs="Calibri"/>
          <w:b/>
          <w:bCs/>
          <w:sz w:val="22"/>
          <w:szCs w:val="22"/>
        </w:rPr>
      </w:pPr>
      <w:r w:rsidRPr="00D91790">
        <w:rPr>
          <w:rFonts w:ascii="Calibri" w:hAnsi="Calibri" w:cs="Calibri"/>
          <w:i/>
          <w:iCs/>
          <w:sz w:val="22"/>
          <w:szCs w:val="22"/>
        </w:rPr>
        <w:t>Candida</w:t>
      </w:r>
      <w:r>
        <w:rPr>
          <w:rFonts w:ascii="Calibri" w:hAnsi="Calibri" w:cs="Calibri"/>
          <w:sz w:val="22"/>
          <w:szCs w:val="22"/>
        </w:rPr>
        <w:t xml:space="preserve"> often colonizes the respiratory tract of marine mammals and can go to the GI tract; Most candidiasis cases are mild and are not always treated but can become an issue with systemic or localized infections</w:t>
      </w:r>
    </w:p>
    <w:p w14:paraId="386A1CF2" w14:textId="77777777" w:rsidR="00D31F31" w:rsidRPr="00430E56" w:rsidRDefault="00D31F31" w:rsidP="00D31F31">
      <w:pPr>
        <w:pStyle w:val="ListParagraph"/>
        <w:numPr>
          <w:ilvl w:val="0"/>
          <w:numId w:val="1"/>
        </w:numPr>
        <w:rPr>
          <w:rFonts w:ascii="Calibri" w:hAnsi="Calibri" w:cs="Calibri"/>
          <w:b/>
          <w:bCs/>
          <w:sz w:val="22"/>
          <w:szCs w:val="22"/>
        </w:rPr>
      </w:pPr>
      <w:r>
        <w:rPr>
          <w:rFonts w:ascii="Calibri" w:hAnsi="Calibri" w:cs="Calibri"/>
          <w:sz w:val="22"/>
          <w:szCs w:val="22"/>
        </w:rPr>
        <w:t>Generally high level of antifungal resistance among isolates from this group of manatees</w:t>
      </w:r>
    </w:p>
    <w:p w14:paraId="59E54D33" w14:textId="77777777" w:rsidR="00D31F31" w:rsidRDefault="00D31F31" w:rsidP="00D31F31">
      <w:pPr>
        <w:rPr>
          <w:rFonts w:ascii="Calibri" w:hAnsi="Calibri" w:cs="Calibri"/>
          <w:b/>
          <w:bCs/>
          <w:sz w:val="22"/>
          <w:szCs w:val="22"/>
        </w:rPr>
      </w:pPr>
    </w:p>
    <w:p w14:paraId="0F37962E" w14:textId="4CCF7CD6" w:rsidR="00DF58D3" w:rsidRDefault="00D31F31" w:rsidP="00D31F31">
      <w:pPr>
        <w:rPr>
          <w:rFonts w:ascii="Calibri" w:hAnsi="Calibri" w:cs="Calibri"/>
          <w:sz w:val="22"/>
          <w:szCs w:val="22"/>
        </w:rPr>
      </w:pPr>
      <w:r w:rsidRPr="00764BDC">
        <w:rPr>
          <w:rFonts w:ascii="Calibri" w:hAnsi="Calibri" w:cs="Calibri"/>
          <w:b/>
          <w:bCs/>
          <w:sz w:val="22"/>
          <w:szCs w:val="22"/>
        </w:rPr>
        <w:t xml:space="preserve">Take Home Points: </w:t>
      </w:r>
      <w:r>
        <w:rPr>
          <w:rFonts w:ascii="Calibri" w:hAnsi="Calibri" w:cs="Calibri"/>
          <w:sz w:val="22"/>
          <w:szCs w:val="22"/>
        </w:rPr>
        <w:t xml:space="preserve">The Amazonian manatee microbiota is dominated by filamentous fungi </w:t>
      </w:r>
      <w:r w:rsidRPr="00A0689F">
        <w:rPr>
          <w:rFonts w:ascii="Calibri" w:hAnsi="Calibri" w:cs="Calibri"/>
          <w:i/>
          <w:iCs/>
          <w:sz w:val="22"/>
          <w:szCs w:val="22"/>
        </w:rPr>
        <w:t xml:space="preserve">Penicillium </w:t>
      </w:r>
      <w:proofErr w:type="spellStart"/>
      <w:r w:rsidRPr="00A0689F">
        <w:rPr>
          <w:rFonts w:ascii="Calibri" w:hAnsi="Calibri" w:cs="Calibri"/>
          <w:i/>
          <w:iCs/>
          <w:sz w:val="22"/>
          <w:szCs w:val="22"/>
        </w:rPr>
        <w:t>citrinum</w:t>
      </w:r>
      <w:proofErr w:type="spellEnd"/>
      <w:r>
        <w:rPr>
          <w:rFonts w:ascii="Calibri" w:hAnsi="Calibri" w:cs="Calibri"/>
          <w:sz w:val="22"/>
          <w:szCs w:val="22"/>
        </w:rPr>
        <w:t xml:space="preserve"> and yeast </w:t>
      </w:r>
      <w:r w:rsidRPr="00A0689F">
        <w:rPr>
          <w:rFonts w:ascii="Calibri" w:hAnsi="Calibri" w:cs="Calibri"/>
          <w:i/>
          <w:iCs/>
          <w:sz w:val="22"/>
          <w:szCs w:val="22"/>
        </w:rPr>
        <w:t>Candida</w:t>
      </w:r>
      <w:r>
        <w:rPr>
          <w:rFonts w:ascii="Calibri" w:hAnsi="Calibri" w:cs="Calibri"/>
          <w:sz w:val="22"/>
          <w:szCs w:val="22"/>
        </w:rPr>
        <w:t xml:space="preserve"> </w:t>
      </w:r>
      <w:proofErr w:type="spellStart"/>
      <w:r>
        <w:rPr>
          <w:rFonts w:ascii="Calibri" w:hAnsi="Calibri" w:cs="Calibri"/>
          <w:sz w:val="22"/>
          <w:szCs w:val="22"/>
        </w:rPr>
        <w:t>spp</w:t>
      </w:r>
      <w:proofErr w:type="spellEnd"/>
      <w:r>
        <w:rPr>
          <w:rFonts w:ascii="Calibri" w:hAnsi="Calibri" w:cs="Calibri"/>
          <w:sz w:val="22"/>
          <w:szCs w:val="22"/>
        </w:rPr>
        <w:t xml:space="preserve"> most commonly when looking at both nasal and rectal swabs. All cultured organisms demonstrated a high level of resistance to antifungal drugs.</w:t>
      </w:r>
    </w:p>
    <w:p w14:paraId="483780B4" w14:textId="77777777" w:rsidR="00D31F31" w:rsidRDefault="00D31F31" w:rsidP="00D31F31">
      <w:pPr>
        <w:rPr>
          <w:rFonts w:ascii="Calibri" w:hAnsi="Calibri" w:cs="Calibri"/>
          <w:sz w:val="22"/>
          <w:szCs w:val="22"/>
        </w:rPr>
      </w:pPr>
    </w:p>
    <w:p w14:paraId="0B87D01E" w14:textId="1574BB57" w:rsidR="00D31F31" w:rsidRDefault="00D31F31" w:rsidP="00D31F31">
      <w:r>
        <w:rPr>
          <w:rFonts w:ascii="Calibri" w:hAnsi="Calibri" w:cs="Calibri"/>
          <w:noProof/>
          <w:sz w:val="22"/>
          <w:szCs w:val="22"/>
        </w:rPr>
        <w:drawing>
          <wp:inline distT="0" distB="0" distL="0" distR="0" wp14:anchorId="3A43B526" wp14:editId="308EA059">
            <wp:extent cx="5943600" cy="4656455"/>
            <wp:effectExtent l="0" t="0" r="0" b="4445"/>
            <wp:docPr id="558783085" name="Picture 1" descr="A group of petri dishes with different types of fungi&#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783085" name="Picture 1" descr="A group of petri dishes with different types of fungi&#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656455"/>
                    </a:xfrm>
                    <a:prstGeom prst="rect">
                      <a:avLst/>
                    </a:prstGeom>
                  </pic:spPr>
                </pic:pic>
              </a:graphicData>
            </a:graphic>
          </wp:inline>
        </w:drawing>
      </w:r>
    </w:p>
    <w:p w14:paraId="17B1F140" w14:textId="2080F181" w:rsidR="00D31F31" w:rsidRDefault="00D31F31" w:rsidP="00D31F31">
      <w:r>
        <w:rPr>
          <w:rFonts w:ascii="Calibri" w:hAnsi="Calibri" w:cs="Calibri"/>
          <w:noProof/>
          <w:sz w:val="22"/>
          <w:szCs w:val="22"/>
        </w:rPr>
        <w:lastRenderedPageBreak/>
        <w:drawing>
          <wp:inline distT="0" distB="0" distL="0" distR="0" wp14:anchorId="0DBD9FC2" wp14:editId="3EA68A4D">
            <wp:extent cx="3647389" cy="5791200"/>
            <wp:effectExtent l="0" t="0" r="0" b="0"/>
            <wp:docPr id="1966686674" name="Picture 2" descr="A table of blood samp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686674" name="Picture 2" descr="A table of blood samples&#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3674614" cy="5834427"/>
                    </a:xfrm>
                    <a:prstGeom prst="rect">
                      <a:avLst/>
                    </a:prstGeom>
                  </pic:spPr>
                </pic:pic>
              </a:graphicData>
            </a:graphic>
          </wp:inline>
        </w:drawing>
      </w:r>
    </w:p>
    <w:p w14:paraId="1219C427" w14:textId="0186CD96" w:rsidR="00D31F31" w:rsidRDefault="00D31F31" w:rsidP="00D31F31">
      <w:pPr>
        <w:pBdr>
          <w:bottom w:val="single" w:sz="12" w:space="1" w:color="auto"/>
        </w:pBdr>
      </w:pPr>
      <w:r>
        <w:rPr>
          <w:rFonts w:ascii="Calibri" w:hAnsi="Calibri" w:cs="Calibri"/>
          <w:noProof/>
          <w:sz w:val="22"/>
          <w:szCs w:val="22"/>
        </w:rPr>
        <w:lastRenderedPageBreak/>
        <w:drawing>
          <wp:inline distT="0" distB="0" distL="0" distR="0" wp14:anchorId="2B89968F" wp14:editId="4524AAA3">
            <wp:extent cx="5943600" cy="4582160"/>
            <wp:effectExtent l="0" t="0" r="0" b="2540"/>
            <wp:docPr id="880775198" name="Picture 3" descr="A table of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775198" name="Picture 3" descr="A table of informati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582160"/>
                    </a:xfrm>
                    <a:prstGeom prst="rect">
                      <a:avLst/>
                    </a:prstGeom>
                  </pic:spPr>
                </pic:pic>
              </a:graphicData>
            </a:graphic>
          </wp:inline>
        </w:drawing>
      </w:r>
    </w:p>
    <w:p w14:paraId="14FC5C92" w14:textId="77777777" w:rsidR="00553996" w:rsidRDefault="00553996" w:rsidP="00D31F31">
      <w:pPr>
        <w:pBdr>
          <w:bottom w:val="single" w:sz="12" w:space="1" w:color="auto"/>
        </w:pBdr>
      </w:pPr>
    </w:p>
    <w:p w14:paraId="08BB227B" w14:textId="77777777" w:rsidR="00553996" w:rsidRDefault="00553996" w:rsidP="00D31F31">
      <w:pPr>
        <w:pBdr>
          <w:bottom w:val="single" w:sz="12" w:space="1" w:color="auto"/>
        </w:pBdr>
      </w:pPr>
    </w:p>
    <w:p w14:paraId="72B7E852" w14:textId="77777777" w:rsidR="00987DBB" w:rsidRDefault="00987DBB" w:rsidP="00D31F31"/>
    <w:p w14:paraId="3CE2A64D" w14:textId="77777777" w:rsidR="00553996" w:rsidRPr="000C0431" w:rsidRDefault="00553996" w:rsidP="00553996">
      <w:pPr>
        <w:pStyle w:val="NormalWeb"/>
        <w:rPr>
          <w:rFonts w:ascii="Calibri" w:hAnsi="Calibri" w:cs="Calibri"/>
          <w:sz w:val="22"/>
          <w:szCs w:val="22"/>
        </w:rPr>
      </w:pPr>
      <w:r w:rsidRPr="006C30F4">
        <w:rPr>
          <w:rFonts w:ascii="Calibri" w:hAnsi="Calibri" w:cs="Calibri"/>
          <w:sz w:val="22"/>
          <w:szCs w:val="22"/>
        </w:rPr>
        <w:t xml:space="preserve">Journal of </w:t>
      </w:r>
      <w:r>
        <w:rPr>
          <w:rFonts w:ascii="Calibri" w:hAnsi="Calibri" w:cs="Calibri"/>
          <w:sz w:val="22"/>
          <w:szCs w:val="22"/>
        </w:rPr>
        <w:t>Zoo and Wildlife Medicine</w:t>
      </w:r>
      <w:r w:rsidRPr="006C30F4">
        <w:rPr>
          <w:rFonts w:ascii="Calibri" w:hAnsi="Calibri" w:cs="Calibri"/>
          <w:sz w:val="22"/>
          <w:szCs w:val="22"/>
        </w:rPr>
        <w:t xml:space="preserve">, </w:t>
      </w:r>
      <w:r>
        <w:rPr>
          <w:rFonts w:ascii="Calibri" w:hAnsi="Calibri" w:cs="Calibri"/>
          <w:sz w:val="22"/>
          <w:szCs w:val="22"/>
        </w:rPr>
        <w:t>55</w:t>
      </w:r>
      <w:r w:rsidRPr="006C30F4">
        <w:rPr>
          <w:rFonts w:ascii="Calibri" w:hAnsi="Calibri" w:cs="Calibri"/>
          <w:sz w:val="22"/>
          <w:szCs w:val="22"/>
        </w:rPr>
        <w:t>(</w:t>
      </w:r>
      <w:r>
        <w:rPr>
          <w:rFonts w:ascii="Calibri" w:hAnsi="Calibri" w:cs="Calibri"/>
          <w:sz w:val="22"/>
          <w:szCs w:val="22"/>
        </w:rPr>
        <w:t>2</w:t>
      </w:r>
      <w:r w:rsidRPr="006C30F4">
        <w:rPr>
          <w:rFonts w:ascii="Calibri" w:hAnsi="Calibri" w:cs="Calibri"/>
          <w:sz w:val="22"/>
          <w:szCs w:val="22"/>
        </w:rPr>
        <w:t xml:space="preserve">): </w:t>
      </w:r>
      <w:r>
        <w:rPr>
          <w:rFonts w:ascii="Calibri" w:hAnsi="Calibri" w:cs="Calibri"/>
          <w:sz w:val="22"/>
          <w:szCs w:val="22"/>
        </w:rPr>
        <w:t>511-520</w:t>
      </w:r>
      <w:r w:rsidRPr="006C30F4">
        <w:rPr>
          <w:rFonts w:ascii="Calibri" w:hAnsi="Calibri" w:cs="Calibri"/>
          <w:sz w:val="22"/>
          <w:szCs w:val="22"/>
        </w:rPr>
        <w:t>, 202</w:t>
      </w:r>
      <w:r>
        <w:rPr>
          <w:rFonts w:ascii="Calibri" w:hAnsi="Calibri" w:cs="Calibri"/>
          <w:sz w:val="22"/>
          <w:szCs w:val="22"/>
        </w:rPr>
        <w:t>4</w:t>
      </w:r>
      <w:r w:rsidRPr="006C30F4">
        <w:rPr>
          <w:rFonts w:ascii="Calibri" w:hAnsi="Calibri" w:cs="Calibri"/>
          <w:sz w:val="22"/>
          <w:szCs w:val="22"/>
        </w:rPr>
        <w:t>.</w:t>
      </w:r>
      <w:r w:rsidRPr="006C30F4">
        <w:rPr>
          <w:rFonts w:ascii="Calibri" w:hAnsi="Calibri" w:cs="Calibri"/>
          <w:b/>
          <w:bCs/>
          <w:sz w:val="22"/>
          <w:szCs w:val="22"/>
        </w:rPr>
        <w:t xml:space="preserve"> </w:t>
      </w:r>
      <w:r w:rsidRPr="006C30F4">
        <w:rPr>
          <w:rFonts w:ascii="Calibri" w:hAnsi="Calibri" w:cs="Calibri"/>
          <w:b/>
          <w:bCs/>
          <w:sz w:val="22"/>
          <w:szCs w:val="22"/>
        </w:rPr>
        <w:br/>
      </w:r>
      <w:r>
        <w:rPr>
          <w:rFonts w:ascii="Calibri" w:hAnsi="Calibri" w:cs="Calibri"/>
          <w:b/>
          <w:bCs/>
          <w:sz w:val="22"/>
          <w:szCs w:val="22"/>
        </w:rPr>
        <w:t>THE MANAGEMENT OF LYMPHOPROLIFERATIVE NEOPLASIA IN FOUR NORTHERN SEA OTTERS (ENHYDRA LUTRIS KENYONI)</w:t>
      </w:r>
      <w:r>
        <w:rPr>
          <w:rFonts w:ascii="Calibri" w:hAnsi="Calibri" w:cs="Calibri"/>
          <w:b/>
          <w:bCs/>
          <w:sz w:val="22"/>
          <w:szCs w:val="22"/>
        </w:rPr>
        <w:br/>
      </w:r>
      <w:r>
        <w:rPr>
          <w:rFonts w:ascii="Calibri" w:hAnsi="Calibri" w:cs="Calibri"/>
          <w:sz w:val="22"/>
          <w:szCs w:val="22"/>
        </w:rPr>
        <w:t xml:space="preserve">Michael S McEntire, Karisa N Tang, Matthew R O’Connor, Martin </w:t>
      </w:r>
      <w:proofErr w:type="spellStart"/>
      <w:r>
        <w:rPr>
          <w:rFonts w:ascii="Calibri" w:hAnsi="Calibri" w:cs="Calibri"/>
          <w:sz w:val="22"/>
          <w:szCs w:val="22"/>
        </w:rPr>
        <w:t>Haulena</w:t>
      </w:r>
      <w:proofErr w:type="spellEnd"/>
      <w:r>
        <w:rPr>
          <w:rFonts w:ascii="Calibri" w:hAnsi="Calibri" w:cs="Calibri"/>
          <w:sz w:val="22"/>
          <w:szCs w:val="22"/>
        </w:rPr>
        <w:t xml:space="preserve"> </w:t>
      </w:r>
      <w:r w:rsidRPr="006C30F4">
        <w:rPr>
          <w:rFonts w:ascii="Calibri" w:hAnsi="Calibri" w:cs="Calibri"/>
          <w:sz w:val="22"/>
          <w:szCs w:val="22"/>
        </w:rPr>
        <w:t>– Reviewed by LMM</w:t>
      </w:r>
    </w:p>
    <w:p w14:paraId="5E12B089" w14:textId="77777777" w:rsidR="00553996" w:rsidRPr="009036E9" w:rsidRDefault="00553996" w:rsidP="00553996">
      <w:pPr>
        <w:rPr>
          <w:rFonts w:ascii="Calibri" w:hAnsi="Calibri" w:cs="Calibri"/>
          <w:b/>
          <w:bCs/>
          <w:sz w:val="22"/>
          <w:szCs w:val="22"/>
        </w:rPr>
      </w:pPr>
      <w:r w:rsidRPr="006C30F4">
        <w:rPr>
          <w:rFonts w:ascii="Calibri" w:hAnsi="Calibri" w:cs="Calibri"/>
          <w:b/>
          <w:bCs/>
          <w:sz w:val="22"/>
          <w:szCs w:val="22"/>
          <w:u w:val="single"/>
        </w:rPr>
        <w:t>Abstract:</w:t>
      </w:r>
      <w:r w:rsidRPr="0023254B">
        <w:rPr>
          <w:rFonts w:ascii="Calibri" w:hAnsi="Calibri" w:cs="Calibri"/>
          <w:sz w:val="22"/>
          <w:szCs w:val="22"/>
        </w:rPr>
        <w:t xml:space="preserve"> </w:t>
      </w:r>
      <w:r w:rsidRPr="009036E9">
        <w:rPr>
          <w:rFonts w:ascii="Calibri" w:hAnsi="Calibri" w:cs="Calibri"/>
          <w:b/>
          <w:bCs/>
          <w:sz w:val="22"/>
          <w:szCs w:val="22"/>
        </w:rPr>
        <w:t>Lymphoproliferative neoplasia has been reported in both free-ranging sea otters and those in managed care</w:t>
      </w:r>
      <w:r w:rsidRPr="009036E9">
        <w:rPr>
          <w:rFonts w:ascii="Calibri" w:hAnsi="Calibri" w:cs="Calibri"/>
          <w:sz w:val="22"/>
          <w:szCs w:val="22"/>
        </w:rPr>
        <w:t xml:space="preserve">, but little information is available on the management of this neoplastic disease in this species. </w:t>
      </w:r>
      <w:r w:rsidRPr="009036E9">
        <w:rPr>
          <w:rFonts w:ascii="Calibri" w:hAnsi="Calibri" w:cs="Calibri"/>
          <w:b/>
          <w:bCs/>
          <w:sz w:val="22"/>
          <w:szCs w:val="22"/>
        </w:rPr>
        <w:t>This case series describes clinical lymphoma in four northern sea otters (</w:t>
      </w:r>
      <w:r w:rsidRPr="009036E9">
        <w:rPr>
          <w:rFonts w:ascii="Calibri" w:hAnsi="Calibri" w:cs="Calibri"/>
          <w:b/>
          <w:bCs/>
          <w:i/>
          <w:iCs/>
          <w:sz w:val="22"/>
          <w:szCs w:val="22"/>
        </w:rPr>
        <w:t xml:space="preserve">Enhydra lutris </w:t>
      </w:r>
      <w:proofErr w:type="spellStart"/>
      <w:r w:rsidRPr="009036E9">
        <w:rPr>
          <w:rFonts w:ascii="Calibri" w:hAnsi="Calibri" w:cs="Calibri"/>
          <w:b/>
          <w:bCs/>
          <w:i/>
          <w:iCs/>
          <w:sz w:val="22"/>
          <w:szCs w:val="22"/>
        </w:rPr>
        <w:t>kenyoni</w:t>
      </w:r>
      <w:proofErr w:type="spellEnd"/>
      <w:r w:rsidRPr="009036E9">
        <w:rPr>
          <w:rFonts w:ascii="Calibri" w:hAnsi="Calibri" w:cs="Calibri"/>
          <w:b/>
          <w:bCs/>
          <w:sz w:val="22"/>
          <w:szCs w:val="22"/>
        </w:rPr>
        <w:t>) in managed care.</w:t>
      </w:r>
      <w:r w:rsidRPr="009036E9">
        <w:rPr>
          <w:rFonts w:ascii="Calibri" w:hAnsi="Calibri" w:cs="Calibri"/>
          <w:sz w:val="22"/>
          <w:szCs w:val="22"/>
        </w:rPr>
        <w:t xml:space="preserve"> Two otters presented with Stage 5 lymphoma with evidence of hematologic spread resulting in leukemia. Two additional otters presented with Stage 3 disease. </w:t>
      </w:r>
      <w:r w:rsidRPr="009036E9">
        <w:rPr>
          <w:rFonts w:ascii="Calibri" w:hAnsi="Calibri" w:cs="Calibri"/>
          <w:b/>
          <w:bCs/>
          <w:sz w:val="22"/>
          <w:szCs w:val="22"/>
        </w:rPr>
        <w:t>Immunophenotypes in these cases included disseminated large B-cell lymphoma and lymphoblastic lymphoma of potential T-cell origin.</w:t>
      </w:r>
      <w:r w:rsidRPr="009036E9">
        <w:rPr>
          <w:rFonts w:ascii="Calibri" w:hAnsi="Calibri" w:cs="Calibri"/>
          <w:sz w:val="22"/>
          <w:szCs w:val="22"/>
        </w:rPr>
        <w:t xml:space="preserve"> Cases were managed with multiagent chemotherapy protocols including prednisone, L-asparaginase, cyclophosphamide, vincristine, cytosine arabinoside, </w:t>
      </w:r>
      <w:proofErr w:type="spellStart"/>
      <w:r w:rsidRPr="009036E9">
        <w:rPr>
          <w:rFonts w:ascii="Calibri" w:hAnsi="Calibri" w:cs="Calibri"/>
          <w:sz w:val="22"/>
          <w:szCs w:val="22"/>
        </w:rPr>
        <w:t>lomustine</w:t>
      </w:r>
      <w:proofErr w:type="spellEnd"/>
      <w:r w:rsidRPr="009036E9">
        <w:rPr>
          <w:rFonts w:ascii="Calibri" w:hAnsi="Calibri" w:cs="Calibri"/>
          <w:sz w:val="22"/>
          <w:szCs w:val="22"/>
        </w:rPr>
        <w:t xml:space="preserve">, and doxorubicin. </w:t>
      </w:r>
      <w:r w:rsidRPr="009036E9">
        <w:rPr>
          <w:rFonts w:ascii="Calibri" w:hAnsi="Calibri" w:cs="Calibri"/>
          <w:b/>
          <w:bCs/>
          <w:sz w:val="22"/>
          <w:szCs w:val="22"/>
        </w:rPr>
        <w:t>Unique approaches included the use of a vascular access port in one case and development of an autologous vaccine in another.</w:t>
      </w:r>
      <w:r w:rsidRPr="009036E9">
        <w:rPr>
          <w:rFonts w:ascii="Calibri" w:hAnsi="Calibri" w:cs="Calibri"/>
          <w:sz w:val="22"/>
          <w:szCs w:val="22"/>
        </w:rPr>
        <w:t xml:space="preserve"> </w:t>
      </w:r>
      <w:r w:rsidRPr="009036E9">
        <w:rPr>
          <w:rFonts w:ascii="Calibri" w:hAnsi="Calibri" w:cs="Calibri"/>
          <w:b/>
          <w:bCs/>
          <w:sz w:val="22"/>
          <w:szCs w:val="22"/>
        </w:rPr>
        <w:t>Survival time ranged from 81 to 409 days. Diagnosis, staging, and treatment with multiagent protocols is recommended for the management of lymphoma in sea otters.</w:t>
      </w:r>
    </w:p>
    <w:p w14:paraId="0E0B6C70" w14:textId="77777777" w:rsidR="00553996" w:rsidRPr="006C30F4" w:rsidRDefault="00553996" w:rsidP="00553996">
      <w:pPr>
        <w:rPr>
          <w:rFonts w:ascii="Calibri" w:hAnsi="Calibri" w:cs="Calibri"/>
          <w:b/>
          <w:bCs/>
          <w:sz w:val="22"/>
          <w:szCs w:val="22"/>
        </w:rPr>
      </w:pPr>
    </w:p>
    <w:p w14:paraId="674BB10B" w14:textId="77777777" w:rsidR="00553996" w:rsidRDefault="00553996" w:rsidP="00553996">
      <w:pPr>
        <w:rPr>
          <w:rFonts w:ascii="Calibri" w:hAnsi="Calibri" w:cs="Calibri"/>
          <w:b/>
          <w:bCs/>
          <w:sz w:val="22"/>
          <w:szCs w:val="22"/>
        </w:rPr>
      </w:pPr>
      <w:r w:rsidRPr="006C30F4">
        <w:rPr>
          <w:rFonts w:ascii="Calibri" w:hAnsi="Calibri" w:cs="Calibri"/>
          <w:b/>
          <w:bCs/>
          <w:sz w:val="22"/>
          <w:szCs w:val="22"/>
        </w:rPr>
        <w:t>Key Points:</w:t>
      </w:r>
    </w:p>
    <w:p w14:paraId="5DD3E137" w14:textId="77777777" w:rsidR="00553996" w:rsidRPr="00A27EF9" w:rsidRDefault="00553996" w:rsidP="00553996">
      <w:pPr>
        <w:pStyle w:val="ListParagraph"/>
        <w:numPr>
          <w:ilvl w:val="0"/>
          <w:numId w:val="2"/>
        </w:numPr>
        <w:rPr>
          <w:rFonts w:ascii="Calibri" w:hAnsi="Calibri" w:cs="Calibri"/>
          <w:b/>
          <w:bCs/>
          <w:sz w:val="22"/>
          <w:szCs w:val="22"/>
        </w:rPr>
      </w:pPr>
      <w:r>
        <w:rPr>
          <w:rFonts w:ascii="Calibri" w:hAnsi="Calibri" w:cs="Calibri"/>
          <w:sz w:val="22"/>
          <w:szCs w:val="22"/>
        </w:rPr>
        <w:t>Northern Sea Otter pops on the rise after significant decline in early 1900’s from commercial hunting; However, current rebound in pop struggling due to infectious diseases (</w:t>
      </w:r>
      <w:proofErr w:type="spellStart"/>
      <w:r>
        <w:rPr>
          <w:rFonts w:ascii="Calibri" w:hAnsi="Calibri" w:cs="Calibri"/>
          <w:sz w:val="22"/>
          <w:szCs w:val="22"/>
        </w:rPr>
        <w:t>streptococcosis</w:t>
      </w:r>
      <w:proofErr w:type="spellEnd"/>
      <w:r>
        <w:rPr>
          <w:rFonts w:ascii="Calibri" w:hAnsi="Calibri" w:cs="Calibri"/>
          <w:sz w:val="22"/>
          <w:szCs w:val="22"/>
        </w:rPr>
        <w:t xml:space="preserve">, acanthocephaliasis, toxoplasmosis) and predation from great white sharks and orcas </w:t>
      </w:r>
    </w:p>
    <w:p w14:paraId="2473DC3D" w14:textId="77777777" w:rsidR="00553996" w:rsidRPr="00870C02" w:rsidRDefault="00553996" w:rsidP="00553996">
      <w:pPr>
        <w:pStyle w:val="ListParagraph"/>
        <w:numPr>
          <w:ilvl w:val="0"/>
          <w:numId w:val="2"/>
        </w:numPr>
        <w:rPr>
          <w:rFonts w:ascii="Calibri" w:hAnsi="Calibri" w:cs="Calibri"/>
          <w:b/>
          <w:bCs/>
          <w:sz w:val="22"/>
          <w:szCs w:val="22"/>
        </w:rPr>
      </w:pPr>
      <w:r>
        <w:rPr>
          <w:rFonts w:ascii="Calibri" w:hAnsi="Calibri" w:cs="Calibri"/>
          <w:sz w:val="22"/>
          <w:szCs w:val="22"/>
        </w:rPr>
        <w:t xml:space="preserve">Most cases had lymph node enlargement as first sign (one had an inguinal mass) and all cases were &gt;10 </w:t>
      </w:r>
      <w:proofErr w:type="spellStart"/>
      <w:r>
        <w:rPr>
          <w:rFonts w:ascii="Calibri" w:hAnsi="Calibri" w:cs="Calibri"/>
          <w:sz w:val="22"/>
          <w:szCs w:val="22"/>
        </w:rPr>
        <w:t>yo</w:t>
      </w:r>
      <w:proofErr w:type="spellEnd"/>
      <w:r>
        <w:rPr>
          <w:rFonts w:ascii="Calibri" w:hAnsi="Calibri" w:cs="Calibri"/>
          <w:sz w:val="22"/>
          <w:szCs w:val="22"/>
        </w:rPr>
        <w:t xml:space="preserve"> </w:t>
      </w:r>
    </w:p>
    <w:p w14:paraId="0BD4E129" w14:textId="77777777" w:rsidR="00553996" w:rsidRPr="00870C02" w:rsidRDefault="00553996" w:rsidP="00553996">
      <w:pPr>
        <w:pStyle w:val="ListParagraph"/>
        <w:numPr>
          <w:ilvl w:val="0"/>
          <w:numId w:val="2"/>
        </w:numPr>
        <w:rPr>
          <w:rFonts w:ascii="Calibri" w:hAnsi="Calibri" w:cs="Calibri"/>
          <w:b/>
          <w:bCs/>
          <w:sz w:val="22"/>
          <w:szCs w:val="22"/>
        </w:rPr>
      </w:pPr>
      <w:r>
        <w:rPr>
          <w:rFonts w:ascii="Calibri" w:hAnsi="Calibri" w:cs="Calibri"/>
          <w:sz w:val="22"/>
          <w:szCs w:val="22"/>
        </w:rPr>
        <w:t>In this series, two cases had large B-cell origin, one potential T-cell origin, the fourth unclear</w:t>
      </w:r>
    </w:p>
    <w:p w14:paraId="00CEA2F0" w14:textId="77777777" w:rsidR="00553996" w:rsidRPr="008F41CD" w:rsidRDefault="00553996" w:rsidP="00553996">
      <w:pPr>
        <w:pStyle w:val="ListParagraph"/>
        <w:numPr>
          <w:ilvl w:val="0"/>
          <w:numId w:val="2"/>
        </w:numPr>
        <w:rPr>
          <w:rFonts w:ascii="Calibri" w:hAnsi="Calibri" w:cs="Calibri"/>
          <w:b/>
          <w:bCs/>
          <w:sz w:val="22"/>
          <w:szCs w:val="22"/>
        </w:rPr>
      </w:pPr>
      <w:r>
        <w:rPr>
          <w:rFonts w:ascii="Calibri" w:hAnsi="Calibri" w:cs="Calibri"/>
          <w:sz w:val="22"/>
          <w:szCs w:val="22"/>
        </w:rPr>
        <w:t>In ferrets, most commonly lymphoma is multicentric and GI; Majority of other mustelids have multicentric lymphoma</w:t>
      </w:r>
    </w:p>
    <w:p w14:paraId="124D77C7" w14:textId="77777777" w:rsidR="00553996" w:rsidRPr="008F41CD" w:rsidRDefault="00553996" w:rsidP="00553996">
      <w:pPr>
        <w:pStyle w:val="ListParagraph"/>
        <w:numPr>
          <w:ilvl w:val="0"/>
          <w:numId w:val="2"/>
        </w:numPr>
        <w:rPr>
          <w:rFonts w:ascii="Calibri" w:hAnsi="Calibri" w:cs="Calibri"/>
          <w:b/>
          <w:bCs/>
          <w:sz w:val="22"/>
          <w:szCs w:val="22"/>
        </w:rPr>
      </w:pPr>
      <w:r>
        <w:rPr>
          <w:rFonts w:ascii="Calibri" w:hAnsi="Calibri" w:cs="Calibri"/>
          <w:sz w:val="22"/>
          <w:szCs w:val="22"/>
        </w:rPr>
        <w:t>An autologous vaccine was used in one case but did not increase survival time compared to other cases</w:t>
      </w:r>
    </w:p>
    <w:p w14:paraId="40F8D5AD" w14:textId="77777777" w:rsidR="00553996" w:rsidRPr="008F41CD" w:rsidRDefault="00553996" w:rsidP="00553996">
      <w:pPr>
        <w:pStyle w:val="ListParagraph"/>
        <w:numPr>
          <w:ilvl w:val="0"/>
          <w:numId w:val="2"/>
        </w:numPr>
        <w:rPr>
          <w:rFonts w:ascii="Calibri" w:hAnsi="Calibri" w:cs="Calibri"/>
          <w:b/>
          <w:bCs/>
          <w:sz w:val="22"/>
          <w:szCs w:val="22"/>
        </w:rPr>
      </w:pPr>
      <w:r>
        <w:rPr>
          <w:rFonts w:ascii="Calibri" w:hAnsi="Calibri" w:cs="Calibri"/>
          <w:sz w:val="22"/>
          <w:szCs w:val="22"/>
        </w:rPr>
        <w:t>A vascular access port was placed in once case but resulted in multiple additional procedures to address incisional dehiscence from over-grooming</w:t>
      </w:r>
    </w:p>
    <w:p w14:paraId="252A1EA9" w14:textId="77777777" w:rsidR="00553996" w:rsidRPr="008F41CD" w:rsidRDefault="00553996" w:rsidP="00553996">
      <w:pPr>
        <w:pStyle w:val="ListParagraph"/>
        <w:numPr>
          <w:ilvl w:val="0"/>
          <w:numId w:val="2"/>
        </w:numPr>
        <w:rPr>
          <w:rFonts w:ascii="Calibri" w:hAnsi="Calibri" w:cs="Calibri"/>
          <w:b/>
          <w:bCs/>
          <w:sz w:val="22"/>
          <w:szCs w:val="22"/>
        </w:rPr>
      </w:pPr>
      <w:r>
        <w:rPr>
          <w:rFonts w:ascii="Calibri" w:hAnsi="Calibri" w:cs="Calibri"/>
          <w:sz w:val="22"/>
          <w:szCs w:val="22"/>
        </w:rPr>
        <w:t>Survival time ranged from 81 to 403 days with the lower times in the more advanced, leukemic stages of disease</w:t>
      </w:r>
    </w:p>
    <w:p w14:paraId="5BE6FC3B" w14:textId="77777777" w:rsidR="00553996" w:rsidRPr="009036E9" w:rsidRDefault="00553996" w:rsidP="00553996">
      <w:pPr>
        <w:pStyle w:val="ListParagraph"/>
        <w:numPr>
          <w:ilvl w:val="0"/>
          <w:numId w:val="2"/>
        </w:numPr>
        <w:rPr>
          <w:rFonts w:ascii="Calibri" w:hAnsi="Calibri" w:cs="Calibri"/>
          <w:b/>
          <w:bCs/>
          <w:sz w:val="22"/>
          <w:szCs w:val="22"/>
        </w:rPr>
      </w:pPr>
      <w:r>
        <w:rPr>
          <w:rFonts w:ascii="Calibri" w:hAnsi="Calibri" w:cs="Calibri"/>
          <w:sz w:val="22"/>
          <w:szCs w:val="22"/>
        </w:rPr>
        <w:t xml:space="preserve">One major challenge in this species is relatively high metabolic rate and high nutritional requirements; may need to administer </w:t>
      </w:r>
      <w:proofErr w:type="spellStart"/>
      <w:r>
        <w:rPr>
          <w:rFonts w:ascii="Calibri" w:hAnsi="Calibri" w:cs="Calibri"/>
          <w:sz w:val="22"/>
          <w:szCs w:val="22"/>
        </w:rPr>
        <w:t>gastroprotectants</w:t>
      </w:r>
      <w:proofErr w:type="spellEnd"/>
      <w:r>
        <w:rPr>
          <w:rFonts w:ascii="Calibri" w:hAnsi="Calibri" w:cs="Calibri"/>
          <w:sz w:val="22"/>
          <w:szCs w:val="22"/>
        </w:rPr>
        <w:t xml:space="preserve">, antiemetics, </w:t>
      </w:r>
      <w:proofErr w:type="spellStart"/>
      <w:r>
        <w:rPr>
          <w:rFonts w:ascii="Calibri" w:hAnsi="Calibri" w:cs="Calibri"/>
          <w:sz w:val="22"/>
          <w:szCs w:val="22"/>
        </w:rPr>
        <w:t>etc</w:t>
      </w:r>
      <w:proofErr w:type="spellEnd"/>
      <w:r>
        <w:rPr>
          <w:rFonts w:ascii="Calibri" w:hAnsi="Calibri" w:cs="Calibri"/>
          <w:sz w:val="22"/>
          <w:szCs w:val="22"/>
        </w:rPr>
        <w:t xml:space="preserve"> to encourage eating or delay chemotherapy if animal anorexic to encourage eating</w:t>
      </w:r>
    </w:p>
    <w:p w14:paraId="47673E2C" w14:textId="77777777" w:rsidR="00553996" w:rsidRDefault="00553996" w:rsidP="00553996">
      <w:pPr>
        <w:rPr>
          <w:rFonts w:ascii="Calibri" w:hAnsi="Calibri" w:cs="Calibri"/>
          <w:b/>
          <w:bCs/>
          <w:sz w:val="22"/>
          <w:szCs w:val="22"/>
        </w:rPr>
      </w:pPr>
    </w:p>
    <w:p w14:paraId="5EC8F68C" w14:textId="77777777" w:rsidR="00553996" w:rsidRPr="008F41CD" w:rsidRDefault="00553996" w:rsidP="00553996">
      <w:pPr>
        <w:rPr>
          <w:rFonts w:ascii="Calibri" w:hAnsi="Calibri" w:cs="Calibri"/>
          <w:sz w:val="22"/>
          <w:szCs w:val="22"/>
        </w:rPr>
      </w:pPr>
      <w:r w:rsidRPr="00764BDC">
        <w:rPr>
          <w:rFonts w:ascii="Calibri" w:hAnsi="Calibri" w:cs="Calibri"/>
          <w:b/>
          <w:bCs/>
          <w:sz w:val="22"/>
          <w:szCs w:val="22"/>
        </w:rPr>
        <w:t xml:space="preserve">Take Home Points: </w:t>
      </w:r>
      <w:r>
        <w:rPr>
          <w:rFonts w:ascii="Calibri" w:hAnsi="Calibri" w:cs="Calibri"/>
          <w:sz w:val="22"/>
          <w:szCs w:val="22"/>
        </w:rPr>
        <w:t xml:space="preserve">Lymphoma and leukemia appears with some regularity in sea otters with first signs typically being </w:t>
      </w:r>
      <w:proofErr w:type="spellStart"/>
      <w:r>
        <w:rPr>
          <w:rFonts w:ascii="Calibri" w:hAnsi="Calibri" w:cs="Calibri"/>
          <w:sz w:val="22"/>
          <w:szCs w:val="22"/>
        </w:rPr>
        <w:t>lymphadenomegaly</w:t>
      </w:r>
      <w:proofErr w:type="spellEnd"/>
      <w:r>
        <w:rPr>
          <w:rFonts w:ascii="Calibri" w:hAnsi="Calibri" w:cs="Calibri"/>
          <w:sz w:val="22"/>
          <w:szCs w:val="22"/>
        </w:rPr>
        <w:t xml:space="preserve"> +/- lethargy. Work-up and treatment generally performed as would be done in small animal clinical medicine. </w:t>
      </w:r>
    </w:p>
    <w:p w14:paraId="0BE720D1" w14:textId="77777777" w:rsidR="00553996" w:rsidRDefault="00553996" w:rsidP="00D31F31">
      <w:pPr>
        <w:rPr>
          <w:rFonts w:ascii="Calibri" w:hAnsi="Calibri" w:cs="Calibri"/>
          <w:sz w:val="22"/>
          <w:szCs w:val="22"/>
        </w:rPr>
      </w:pPr>
    </w:p>
    <w:p w14:paraId="626BF83D" w14:textId="348FEE02" w:rsidR="00553996" w:rsidRDefault="00553996" w:rsidP="00D31F31">
      <w:r>
        <w:rPr>
          <w:rFonts w:ascii="Calibri" w:hAnsi="Calibri" w:cs="Calibri"/>
          <w:noProof/>
          <w:sz w:val="22"/>
          <w:szCs w:val="22"/>
        </w:rPr>
        <w:drawing>
          <wp:inline distT="0" distB="0" distL="0" distR="0" wp14:anchorId="10AA8BC9" wp14:editId="1CFB1727">
            <wp:extent cx="5943600" cy="1627505"/>
            <wp:effectExtent l="0" t="0" r="0" b="0"/>
            <wp:docPr id="1485962608" name="Picture 4" descr="A close-up of a medical inform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62608" name="Picture 1" descr="A close-up of a medical informatio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627505"/>
                    </a:xfrm>
                    <a:prstGeom prst="rect">
                      <a:avLst/>
                    </a:prstGeom>
                  </pic:spPr>
                </pic:pic>
              </a:graphicData>
            </a:graphic>
          </wp:inline>
        </w:drawing>
      </w:r>
    </w:p>
    <w:p w14:paraId="5E996834" w14:textId="3E3F6BD5" w:rsidR="00553996" w:rsidRDefault="00553996" w:rsidP="00D31F31">
      <w:r>
        <w:rPr>
          <w:rFonts w:ascii="Calibri" w:hAnsi="Calibri" w:cs="Calibri"/>
          <w:noProof/>
          <w:sz w:val="22"/>
          <w:szCs w:val="22"/>
        </w:rPr>
        <w:lastRenderedPageBreak/>
        <w:drawing>
          <wp:inline distT="0" distB="0" distL="0" distR="0" wp14:anchorId="22189529" wp14:editId="55C7978E">
            <wp:extent cx="5943600" cy="6047105"/>
            <wp:effectExtent l="0" t="0" r="0" b="0"/>
            <wp:docPr id="1993503206" name="Picture 5" descr="A document with text and imag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503206" name="Picture 2" descr="A document with text and images&#10;&#10;Description automatically generated with medium confidence"/>
                    <pic:cNvPicPr/>
                  </pic:nvPicPr>
                  <pic:blipFill>
                    <a:blip r:embed="rId9">
                      <a:extLst>
                        <a:ext uri="{28A0092B-C50C-407E-A947-70E740481C1C}">
                          <a14:useLocalDpi xmlns:a14="http://schemas.microsoft.com/office/drawing/2010/main" val="0"/>
                        </a:ext>
                      </a:extLst>
                    </a:blip>
                    <a:stretch>
                      <a:fillRect/>
                    </a:stretch>
                  </pic:blipFill>
                  <pic:spPr>
                    <a:xfrm>
                      <a:off x="0" y="0"/>
                      <a:ext cx="5943600" cy="6047105"/>
                    </a:xfrm>
                    <a:prstGeom prst="rect">
                      <a:avLst/>
                    </a:prstGeom>
                  </pic:spPr>
                </pic:pic>
              </a:graphicData>
            </a:graphic>
          </wp:inline>
        </w:drawing>
      </w:r>
    </w:p>
    <w:p w14:paraId="5ECA9CCE" w14:textId="42C0BC4E" w:rsidR="00553996" w:rsidRDefault="00553996" w:rsidP="00D31F31">
      <w:r>
        <w:rPr>
          <w:rFonts w:ascii="Calibri" w:hAnsi="Calibri" w:cs="Calibri"/>
          <w:noProof/>
          <w:sz w:val="22"/>
          <w:szCs w:val="22"/>
        </w:rPr>
        <w:drawing>
          <wp:inline distT="0" distB="0" distL="0" distR="0" wp14:anchorId="5D06791D" wp14:editId="6AFAF5FC">
            <wp:extent cx="5943600" cy="1966595"/>
            <wp:effectExtent l="0" t="0" r="0" b="1905"/>
            <wp:docPr id="1559155702" name="Picture 6" descr="A table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55702" name="Picture 3" descr="A table with text and numbers&#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1966595"/>
                    </a:xfrm>
                    <a:prstGeom prst="rect">
                      <a:avLst/>
                    </a:prstGeom>
                  </pic:spPr>
                </pic:pic>
              </a:graphicData>
            </a:graphic>
          </wp:inline>
        </w:drawing>
      </w:r>
    </w:p>
    <w:p w14:paraId="7704DFB0" w14:textId="11065D99" w:rsidR="004F0598" w:rsidRDefault="004F0598" w:rsidP="00D31F31"/>
    <w:p w14:paraId="368E3C1A" w14:textId="77777777" w:rsidR="004F0598" w:rsidRDefault="004F0598" w:rsidP="004F0598">
      <w:pPr>
        <w:rPr>
          <w:rFonts w:ascii="Times New Roman" w:eastAsia="Times New Roman" w:hAnsi="Times New Roman" w:cs="Times New Roman"/>
        </w:rPr>
      </w:pPr>
      <w:r>
        <w:rPr>
          <w:rFonts w:ascii="Times New Roman" w:eastAsia="Times New Roman" w:hAnsi="Times New Roman" w:cs="Times New Roman"/>
          <w:b/>
        </w:rPr>
        <w:lastRenderedPageBreak/>
        <w:t xml:space="preserve">NO PROGRESSION OF UROLITHS IN ASIAN SMALL-CLAWED OTTERS (AONYX CINEREUS) FED A NATURALISTIC CRUSTACEAN-BASED DIET FOR 2 YEARS. </w:t>
      </w:r>
      <w:r>
        <w:rPr>
          <w:rFonts w:ascii="Times New Roman" w:eastAsia="Times New Roman" w:hAnsi="Times New Roman" w:cs="Times New Roman"/>
        </w:rPr>
        <w:t xml:space="preserve">JZWM 53.2 (2022). Francis Cabana, Guillaume Douay, Thomas Yeo, </w:t>
      </w:r>
      <w:proofErr w:type="spellStart"/>
      <w:r>
        <w:rPr>
          <w:rFonts w:ascii="Times New Roman" w:eastAsia="Times New Roman" w:hAnsi="Times New Roman" w:cs="Times New Roman"/>
        </w:rPr>
        <w:t>Yaoprapa</w:t>
      </w:r>
      <w:proofErr w:type="spellEnd"/>
      <w:r>
        <w:rPr>
          <w:rFonts w:ascii="Times New Roman" w:eastAsia="Times New Roman" w:hAnsi="Times New Roman" w:cs="Times New Roman"/>
        </w:rPr>
        <w:t xml:space="preserve"> Mathura - review by </w:t>
      </w:r>
      <w:proofErr w:type="spellStart"/>
      <w:r>
        <w:rPr>
          <w:rFonts w:ascii="Times New Roman" w:eastAsia="Times New Roman" w:hAnsi="Times New Roman" w:cs="Times New Roman"/>
        </w:rPr>
        <w:t>LMumm</w:t>
      </w:r>
      <w:proofErr w:type="spellEnd"/>
    </w:p>
    <w:p w14:paraId="09A48631" w14:textId="77777777" w:rsidR="004F0598" w:rsidRDefault="004F0598" w:rsidP="004F0598">
      <w:pPr>
        <w:rPr>
          <w:rFonts w:ascii="Times New Roman" w:eastAsia="Times New Roman" w:hAnsi="Times New Roman" w:cs="Times New Roman"/>
          <w:sz w:val="20"/>
          <w:szCs w:val="20"/>
        </w:rPr>
      </w:pPr>
    </w:p>
    <w:p w14:paraId="07BCC9FD" w14:textId="77777777" w:rsidR="004F0598" w:rsidRDefault="004F0598" w:rsidP="004F0598">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Abstract: Asian small-clawed otters (ASCO; </w:t>
      </w:r>
      <w:proofErr w:type="spellStart"/>
      <w:r>
        <w:rPr>
          <w:rFonts w:ascii="Times New Roman" w:eastAsia="Times New Roman" w:hAnsi="Times New Roman" w:cs="Times New Roman"/>
          <w:sz w:val="20"/>
          <w:szCs w:val="20"/>
        </w:rPr>
        <w:t>Aonyx</w:t>
      </w:r>
      <w:proofErr w:type="spellEnd"/>
      <w:r>
        <w:rPr>
          <w:rFonts w:ascii="Times New Roman" w:eastAsia="Times New Roman" w:hAnsi="Times New Roman" w:cs="Times New Roman"/>
          <w:sz w:val="20"/>
          <w:szCs w:val="20"/>
        </w:rPr>
        <w:t xml:space="preserve"> cinereus) are a popular species of otter housed in zoological institutions. A common health challenge in this species is the development of uroliths, which may have a dietary origin. Feeding recommendations for ASCO are largely based on the nutrient requirements of domestic carnivore models. Using otter-specific feeding ecology may allow for further refinement of these nutrient recommendations. </w:t>
      </w:r>
      <w:r>
        <w:rPr>
          <w:rFonts w:ascii="Times New Roman" w:eastAsia="Times New Roman" w:hAnsi="Times New Roman" w:cs="Times New Roman"/>
          <w:sz w:val="20"/>
          <w:szCs w:val="20"/>
          <w:u w:val="single"/>
        </w:rPr>
        <w:t>This study aimed to assess if a naturalistic diet of crustaceans, mollusks, and fish could control the development of uroliths in ASCO</w:t>
      </w:r>
      <w:r>
        <w:rPr>
          <w:rFonts w:ascii="Times New Roman" w:eastAsia="Times New Roman" w:hAnsi="Times New Roman" w:cs="Times New Roman"/>
          <w:sz w:val="20"/>
          <w:szCs w:val="20"/>
        </w:rPr>
        <w:t xml:space="preserve">. Baseline data were collected on </w:t>
      </w:r>
      <w:r>
        <w:rPr>
          <w:rFonts w:ascii="Times New Roman" w:eastAsia="Times New Roman" w:hAnsi="Times New Roman" w:cs="Times New Roman"/>
          <w:sz w:val="20"/>
          <w:szCs w:val="20"/>
          <w:u w:val="single"/>
        </w:rPr>
        <w:t xml:space="preserve">10 ASCO </w:t>
      </w:r>
      <w:r>
        <w:rPr>
          <w:rFonts w:ascii="Times New Roman" w:eastAsia="Times New Roman" w:hAnsi="Times New Roman" w:cs="Times New Roman"/>
          <w:sz w:val="20"/>
          <w:szCs w:val="20"/>
        </w:rPr>
        <w:t xml:space="preserve">(five males and five females) of different ages and repeated 2 years after the treatment diet was introduced. Blood and urine parameters, as well as the size of nephroliths based on radiographic images, were recorded. </w:t>
      </w:r>
      <w:r>
        <w:rPr>
          <w:rFonts w:ascii="Times New Roman" w:eastAsia="Times New Roman" w:hAnsi="Times New Roman" w:cs="Times New Roman"/>
          <w:sz w:val="20"/>
          <w:szCs w:val="20"/>
          <w:highlight w:val="yellow"/>
        </w:rPr>
        <w:t xml:space="preserve">The treatment diet was higher in protein and lower in calcium than the nontreatment diet and did not contain any kibble. During the 2-year treatment trial, blood globulin, glucose, and sodium </w:t>
      </w:r>
      <w:proofErr w:type="gramStart"/>
      <w:r>
        <w:rPr>
          <w:rFonts w:ascii="Times New Roman" w:eastAsia="Times New Roman" w:hAnsi="Times New Roman" w:cs="Times New Roman"/>
          <w:sz w:val="20"/>
          <w:szCs w:val="20"/>
          <w:highlight w:val="yellow"/>
        </w:rPr>
        <w:t>increased</w:t>
      </w:r>
      <w:proofErr w:type="gramEnd"/>
      <w:r>
        <w:rPr>
          <w:rFonts w:ascii="Times New Roman" w:eastAsia="Times New Roman" w:hAnsi="Times New Roman" w:cs="Times New Roman"/>
          <w:sz w:val="20"/>
          <w:szCs w:val="20"/>
          <w:highlight w:val="yellow"/>
        </w:rPr>
        <w:t xml:space="preserve"> and albumin decreased. Glucosuria and leukocyturia significantly decreased. There were no significant changes in urolith size over the 2 years, and animals without nephroliths at the beginning of the study remained urolith free. The development of nephroliths was significantly reduced during the treatment compared with the year prior.</w:t>
      </w:r>
      <w:r>
        <w:rPr>
          <w:rFonts w:ascii="Times New Roman" w:eastAsia="Times New Roman" w:hAnsi="Times New Roman" w:cs="Times New Roman"/>
          <w:sz w:val="20"/>
          <w:szCs w:val="20"/>
        </w:rPr>
        <w:t xml:space="preserve"> Although interpretation is limited by the methods used, a naturalist diet may have a beneficial impact in the development of uroliths in ASCO.</w:t>
      </w:r>
    </w:p>
    <w:p w14:paraId="709DAD9F" w14:textId="77777777" w:rsidR="004F0598" w:rsidRDefault="004F0598" w:rsidP="004F0598">
      <w:pPr>
        <w:rPr>
          <w:rFonts w:ascii="Times New Roman" w:eastAsia="Times New Roman" w:hAnsi="Times New Roman" w:cs="Times New Roman"/>
        </w:rPr>
      </w:pPr>
    </w:p>
    <w:p w14:paraId="6C1AAE3C" w14:textId="77777777" w:rsidR="004F0598" w:rsidRDefault="004F0598" w:rsidP="004F0598">
      <w:pPr>
        <w:rPr>
          <w:rFonts w:ascii="Times New Roman" w:eastAsia="Times New Roman" w:hAnsi="Times New Roman" w:cs="Times New Roman"/>
        </w:rPr>
      </w:pPr>
      <w:r>
        <w:rPr>
          <w:rFonts w:ascii="Times New Roman" w:eastAsia="Times New Roman" w:hAnsi="Times New Roman" w:cs="Times New Roman"/>
        </w:rPr>
        <w:t>Background</w:t>
      </w:r>
    </w:p>
    <w:p w14:paraId="569B2F34" w14:textId="77777777" w:rsidR="004F0598" w:rsidRDefault="004F0598" w:rsidP="004F0598">
      <w:pPr>
        <w:numPr>
          <w:ilvl w:val="0"/>
          <w:numId w:val="3"/>
        </w:numPr>
        <w:rPr>
          <w:rFonts w:ascii="Times New Roman" w:eastAsia="Times New Roman" w:hAnsi="Times New Roman" w:cs="Times New Roman"/>
        </w:rPr>
      </w:pPr>
      <w:r>
        <w:rPr>
          <w:rFonts w:ascii="Times New Roman" w:eastAsia="Times New Roman" w:hAnsi="Times New Roman" w:cs="Times New Roman"/>
        </w:rPr>
        <w:t>Otters prone to urolithiasis both in the wild and captivity</w:t>
      </w:r>
    </w:p>
    <w:p w14:paraId="1A6EBE07" w14:textId="77777777" w:rsidR="004F0598" w:rsidRDefault="004F0598" w:rsidP="004F0598">
      <w:pPr>
        <w:numPr>
          <w:ilvl w:val="1"/>
          <w:numId w:val="3"/>
        </w:numPr>
        <w:rPr>
          <w:rFonts w:ascii="Times New Roman" w:eastAsia="Times New Roman" w:hAnsi="Times New Roman" w:cs="Times New Roman"/>
        </w:rPr>
      </w:pPr>
      <w:r>
        <w:rPr>
          <w:rFonts w:ascii="Times New Roman" w:eastAsia="Times New Roman" w:hAnsi="Times New Roman" w:cs="Times New Roman"/>
        </w:rPr>
        <w:t xml:space="preserve"> Most composed of calcium oxalates &gt; ammonium acid urate</w:t>
      </w:r>
    </w:p>
    <w:p w14:paraId="257CC7BE" w14:textId="77777777" w:rsidR="004F0598" w:rsidRDefault="004F0598" w:rsidP="004F0598">
      <w:pPr>
        <w:numPr>
          <w:ilvl w:val="1"/>
          <w:numId w:val="3"/>
        </w:numPr>
        <w:rPr>
          <w:rFonts w:ascii="Times New Roman" w:eastAsia="Times New Roman" w:hAnsi="Times New Roman" w:cs="Times New Roman"/>
        </w:rPr>
      </w:pPr>
      <w:r>
        <w:rPr>
          <w:rFonts w:ascii="Times New Roman" w:eastAsia="Times New Roman" w:hAnsi="Times New Roman" w:cs="Times New Roman"/>
        </w:rPr>
        <w:t>Affects larger proportion of captive otters ~24.5% (range 9.4-66.1%) and at younger ages</w:t>
      </w:r>
    </w:p>
    <w:p w14:paraId="3F079C84" w14:textId="77777777" w:rsidR="004F0598" w:rsidRDefault="004F0598" w:rsidP="004F0598">
      <w:pPr>
        <w:numPr>
          <w:ilvl w:val="1"/>
          <w:numId w:val="3"/>
        </w:numPr>
        <w:rPr>
          <w:rFonts w:ascii="Times New Roman" w:eastAsia="Times New Roman" w:hAnsi="Times New Roman" w:cs="Times New Roman"/>
        </w:rPr>
      </w:pPr>
      <w:r>
        <w:rPr>
          <w:rFonts w:ascii="Times New Roman" w:eastAsia="Times New Roman" w:hAnsi="Times New Roman" w:cs="Times New Roman"/>
        </w:rPr>
        <w:t>Genetic predisposition possible; nutrition considered most sig. and controllable variable</w:t>
      </w:r>
    </w:p>
    <w:p w14:paraId="220C3B49" w14:textId="77777777" w:rsidR="004F0598" w:rsidRDefault="004F0598" w:rsidP="004F0598">
      <w:pPr>
        <w:numPr>
          <w:ilvl w:val="1"/>
          <w:numId w:val="3"/>
        </w:numPr>
        <w:rPr>
          <w:rFonts w:ascii="Times New Roman" w:eastAsia="Times New Roman" w:hAnsi="Times New Roman" w:cs="Times New Roman"/>
        </w:rPr>
      </w:pPr>
      <w:r>
        <w:rPr>
          <w:rFonts w:ascii="Times New Roman" w:eastAsia="Times New Roman" w:hAnsi="Times New Roman" w:cs="Times New Roman"/>
        </w:rPr>
        <w:t>Risk assessment study suggested that ASCO diets in captivity should be high in protein, controlled in calcium, and not limited in sodium</w:t>
      </w:r>
    </w:p>
    <w:p w14:paraId="4A4B365C" w14:textId="77777777" w:rsidR="004F0598" w:rsidRDefault="004F0598" w:rsidP="004F0598">
      <w:pPr>
        <w:numPr>
          <w:ilvl w:val="0"/>
          <w:numId w:val="3"/>
        </w:numPr>
        <w:rPr>
          <w:rFonts w:ascii="Times New Roman" w:eastAsia="Times New Roman" w:hAnsi="Times New Roman" w:cs="Times New Roman"/>
        </w:rPr>
      </w:pPr>
      <w:r>
        <w:rPr>
          <w:rFonts w:ascii="Times New Roman" w:eastAsia="Times New Roman" w:hAnsi="Times New Roman" w:cs="Times New Roman"/>
        </w:rPr>
        <w:t>ASCO natural diet predominately crustaceans vs. captive diet predominantly fish</w:t>
      </w:r>
    </w:p>
    <w:p w14:paraId="42715544" w14:textId="77777777" w:rsidR="004F0598" w:rsidRDefault="004F0598" w:rsidP="004F0598">
      <w:pPr>
        <w:numPr>
          <w:ilvl w:val="0"/>
          <w:numId w:val="3"/>
        </w:numPr>
        <w:rPr>
          <w:rFonts w:ascii="Times New Roman" w:eastAsia="Times New Roman" w:hAnsi="Times New Roman" w:cs="Times New Roman"/>
        </w:rPr>
      </w:pPr>
      <w:r>
        <w:rPr>
          <w:rFonts w:ascii="Times New Roman" w:eastAsia="Times New Roman" w:hAnsi="Times New Roman" w:cs="Times New Roman"/>
        </w:rPr>
        <w:t xml:space="preserve">Crude protein recommendations for ASCO in captivity range between 20-33% on DMB, whereas natural diet of </w:t>
      </w:r>
      <w:proofErr w:type="spellStart"/>
      <w:r>
        <w:rPr>
          <w:rFonts w:ascii="Times New Roman" w:eastAsia="Times New Roman" w:hAnsi="Times New Roman" w:cs="Times New Roman"/>
          <w:i/>
        </w:rPr>
        <w:t>Lutra</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lutra</w:t>
      </w:r>
      <w:proofErr w:type="spellEnd"/>
      <w:r>
        <w:rPr>
          <w:rFonts w:ascii="Times New Roman" w:eastAsia="Times New Roman" w:hAnsi="Times New Roman" w:cs="Times New Roman"/>
        </w:rPr>
        <w:t xml:space="preserve"> estimated to be ~73%</w:t>
      </w:r>
    </w:p>
    <w:p w14:paraId="10E0F67C" w14:textId="77777777" w:rsidR="004F0598" w:rsidRDefault="004F0598" w:rsidP="004F0598">
      <w:pPr>
        <w:rPr>
          <w:rFonts w:ascii="Times New Roman" w:eastAsia="Times New Roman" w:hAnsi="Times New Roman" w:cs="Times New Roman"/>
        </w:rPr>
      </w:pPr>
    </w:p>
    <w:p w14:paraId="215CB24A" w14:textId="77777777" w:rsidR="004F0598" w:rsidRDefault="004F0598" w:rsidP="004F0598">
      <w:pPr>
        <w:rPr>
          <w:rFonts w:ascii="Times New Roman" w:eastAsia="Times New Roman" w:hAnsi="Times New Roman" w:cs="Times New Roman"/>
        </w:rPr>
      </w:pPr>
      <w:r>
        <w:rPr>
          <w:rFonts w:ascii="Times New Roman" w:eastAsia="Times New Roman" w:hAnsi="Times New Roman" w:cs="Times New Roman"/>
        </w:rPr>
        <w:t>Methods: n=10 (5.5) clinically healthy adult captive ASCO, 6 previously dx with nephrolithiasis transitioned to treatment diet over 4 weeks for 2 years, diagnostics at start and end</w:t>
      </w:r>
    </w:p>
    <w:p w14:paraId="7C30800B" w14:textId="77777777" w:rsidR="004F0598" w:rsidRDefault="004F0598" w:rsidP="004F0598">
      <w:pPr>
        <w:numPr>
          <w:ilvl w:val="0"/>
          <w:numId w:val="4"/>
        </w:numPr>
        <w:rPr>
          <w:rFonts w:ascii="Times New Roman" w:eastAsia="Times New Roman" w:hAnsi="Times New Roman" w:cs="Times New Roman"/>
        </w:rPr>
      </w:pPr>
      <w:r>
        <w:rPr>
          <w:rFonts w:ascii="Times New Roman" w:eastAsia="Times New Roman" w:hAnsi="Times New Roman" w:cs="Times New Roman"/>
          <w:b/>
        </w:rPr>
        <w:t>Typical diets primarily fish (</w:t>
      </w:r>
      <w:proofErr w:type="gramStart"/>
      <w:r>
        <w:rPr>
          <w:rFonts w:ascii="Times New Roman" w:eastAsia="Times New Roman" w:hAnsi="Times New Roman" w:cs="Times New Roman"/>
          <w:b/>
        </w:rPr>
        <w:t>i.e.</w:t>
      </w:r>
      <w:proofErr w:type="gramEnd"/>
      <w:r>
        <w:rPr>
          <w:rFonts w:ascii="Times New Roman" w:eastAsia="Times New Roman" w:hAnsi="Times New Roman" w:cs="Times New Roman"/>
          <w:b/>
        </w:rPr>
        <w:t xml:space="preserve"> 90-97% capelin)</w:t>
      </w:r>
      <w:r>
        <w:rPr>
          <w:rFonts w:ascii="Cardo" w:eastAsia="Cardo" w:hAnsi="Cardo" w:cs="Cardo"/>
        </w:rPr>
        <w:t xml:space="preserve"> → </w:t>
      </w:r>
      <w:r>
        <w:rPr>
          <w:rFonts w:ascii="Times New Roman" w:eastAsia="Times New Roman" w:hAnsi="Times New Roman" w:cs="Times New Roman"/>
          <w:b/>
        </w:rPr>
        <w:t>natural treatment diet of primarily crustaceans (70% crustaceans</w:t>
      </w:r>
      <w:r>
        <w:rPr>
          <w:rFonts w:ascii="Times New Roman" w:eastAsia="Times New Roman" w:hAnsi="Times New Roman" w:cs="Times New Roman"/>
        </w:rPr>
        <w:t>/crabs/prawns, 15% mussels, 10% freshwater fish, 5% chicken, thiamine supplement)</w:t>
      </w:r>
    </w:p>
    <w:p w14:paraId="6BAD2AEB" w14:textId="77777777" w:rsidR="004F0598" w:rsidRDefault="004F0598" w:rsidP="004F0598">
      <w:pPr>
        <w:numPr>
          <w:ilvl w:val="1"/>
          <w:numId w:val="4"/>
        </w:numPr>
        <w:rPr>
          <w:rFonts w:ascii="Times New Roman" w:eastAsia="Times New Roman" w:hAnsi="Times New Roman" w:cs="Times New Roman"/>
          <w:b/>
        </w:rPr>
      </w:pPr>
      <w:r>
        <w:rPr>
          <w:rFonts w:ascii="Times New Roman" w:eastAsia="Times New Roman" w:hAnsi="Times New Roman" w:cs="Times New Roman"/>
          <w:b/>
        </w:rPr>
        <w:t xml:space="preserve">Increased protein, </w:t>
      </w:r>
      <w:proofErr w:type="gramStart"/>
      <w:r>
        <w:rPr>
          <w:rFonts w:ascii="Times New Roman" w:eastAsia="Times New Roman" w:hAnsi="Times New Roman" w:cs="Times New Roman"/>
          <w:b/>
        </w:rPr>
        <w:t>copper</w:t>
      </w:r>
      <w:proofErr w:type="gramEnd"/>
      <w:r>
        <w:rPr>
          <w:rFonts w:ascii="Times New Roman" w:eastAsia="Times New Roman" w:hAnsi="Times New Roman" w:cs="Times New Roman"/>
          <w:b/>
        </w:rPr>
        <w:t xml:space="preserve"> and zinc; decreased calcium, fat, phosphorus, vit A</w:t>
      </w:r>
    </w:p>
    <w:p w14:paraId="6D545C33" w14:textId="77777777" w:rsidR="004F0598" w:rsidRDefault="004F0598" w:rsidP="004F0598">
      <w:pPr>
        <w:rPr>
          <w:rFonts w:ascii="Times New Roman" w:eastAsia="Times New Roman" w:hAnsi="Times New Roman" w:cs="Times New Roman"/>
        </w:rPr>
      </w:pPr>
    </w:p>
    <w:p w14:paraId="586200D8" w14:textId="77777777" w:rsidR="004F0598" w:rsidRDefault="004F0598" w:rsidP="004F0598">
      <w:pPr>
        <w:rPr>
          <w:rFonts w:ascii="Times New Roman" w:eastAsia="Times New Roman" w:hAnsi="Times New Roman" w:cs="Times New Roman"/>
        </w:rPr>
      </w:pPr>
      <w:r>
        <w:rPr>
          <w:rFonts w:ascii="Times New Roman" w:eastAsia="Times New Roman" w:hAnsi="Times New Roman" w:cs="Times New Roman"/>
        </w:rPr>
        <w:t>Key points</w:t>
      </w:r>
    </w:p>
    <w:p w14:paraId="42C74319" w14:textId="77777777" w:rsidR="004F0598" w:rsidRDefault="004F0598" w:rsidP="004F0598">
      <w:pPr>
        <w:numPr>
          <w:ilvl w:val="0"/>
          <w:numId w:val="4"/>
        </w:numPr>
        <w:rPr>
          <w:rFonts w:ascii="Times New Roman" w:eastAsia="Times New Roman" w:hAnsi="Times New Roman" w:cs="Times New Roman"/>
        </w:rPr>
      </w:pPr>
      <w:r>
        <w:rPr>
          <w:rFonts w:ascii="Times New Roman" w:eastAsia="Times New Roman" w:hAnsi="Times New Roman" w:cs="Times New Roman"/>
        </w:rPr>
        <w:t xml:space="preserve">Blood and urine parameters: </w:t>
      </w:r>
    </w:p>
    <w:p w14:paraId="7165EDBF" w14:textId="77777777" w:rsidR="004F0598" w:rsidRDefault="004F0598" w:rsidP="004F0598">
      <w:pPr>
        <w:numPr>
          <w:ilvl w:val="1"/>
          <w:numId w:val="4"/>
        </w:numPr>
        <w:rPr>
          <w:rFonts w:ascii="Times New Roman" w:eastAsia="Times New Roman" w:hAnsi="Times New Roman" w:cs="Times New Roman"/>
        </w:rPr>
      </w:pPr>
      <w:r>
        <w:rPr>
          <w:rFonts w:ascii="Times New Roman" w:eastAsia="Times New Roman" w:hAnsi="Times New Roman" w:cs="Times New Roman"/>
        </w:rPr>
        <w:t>Globulin and sodium sig. higher and albumin sig. lower after 2 years</w:t>
      </w:r>
    </w:p>
    <w:p w14:paraId="6E5EA627" w14:textId="77777777" w:rsidR="004F0598" w:rsidRDefault="004F0598" w:rsidP="004F0598">
      <w:pPr>
        <w:numPr>
          <w:ilvl w:val="1"/>
          <w:numId w:val="4"/>
        </w:numPr>
        <w:rPr>
          <w:rFonts w:ascii="Times New Roman" w:eastAsia="Times New Roman" w:hAnsi="Times New Roman" w:cs="Times New Roman"/>
        </w:rPr>
      </w:pPr>
      <w:r>
        <w:rPr>
          <w:rFonts w:ascii="Times New Roman" w:eastAsia="Times New Roman" w:hAnsi="Times New Roman" w:cs="Times New Roman"/>
        </w:rPr>
        <w:t>Glucosuria and leukocyturia sig. lower after 2 years</w:t>
      </w:r>
    </w:p>
    <w:p w14:paraId="40192A6B" w14:textId="77777777" w:rsidR="004F0598" w:rsidRDefault="004F0598" w:rsidP="004F0598">
      <w:pPr>
        <w:numPr>
          <w:ilvl w:val="1"/>
          <w:numId w:val="4"/>
        </w:numPr>
        <w:rPr>
          <w:rFonts w:ascii="Times New Roman" w:eastAsia="Times New Roman" w:hAnsi="Times New Roman" w:cs="Times New Roman"/>
        </w:rPr>
      </w:pPr>
      <w:r>
        <w:rPr>
          <w:rFonts w:ascii="Times New Roman" w:eastAsia="Times New Roman" w:hAnsi="Times New Roman" w:cs="Times New Roman"/>
        </w:rPr>
        <w:t>One sample with crystalluria at start, none after 2 years</w:t>
      </w:r>
    </w:p>
    <w:p w14:paraId="207D1547" w14:textId="77777777" w:rsidR="004F0598" w:rsidRDefault="004F0598" w:rsidP="004F0598">
      <w:pPr>
        <w:numPr>
          <w:ilvl w:val="0"/>
          <w:numId w:val="4"/>
        </w:numPr>
        <w:rPr>
          <w:rFonts w:ascii="Times New Roman" w:eastAsia="Times New Roman" w:hAnsi="Times New Roman" w:cs="Times New Roman"/>
        </w:rPr>
      </w:pPr>
      <w:r>
        <w:rPr>
          <w:rFonts w:ascii="Times New Roman" w:eastAsia="Times New Roman" w:hAnsi="Times New Roman" w:cs="Times New Roman"/>
        </w:rPr>
        <w:t>Nephrolith proportion: measured with rads</w:t>
      </w:r>
    </w:p>
    <w:p w14:paraId="79A6066D" w14:textId="77777777" w:rsidR="004F0598" w:rsidRDefault="004F0598" w:rsidP="004F0598">
      <w:pPr>
        <w:numPr>
          <w:ilvl w:val="1"/>
          <w:numId w:val="4"/>
        </w:numPr>
        <w:rPr>
          <w:rFonts w:ascii="Times New Roman" w:eastAsia="Times New Roman" w:hAnsi="Times New Roman" w:cs="Times New Roman"/>
        </w:rPr>
      </w:pPr>
      <w:r>
        <w:rPr>
          <w:rFonts w:ascii="Times New Roman" w:eastAsia="Times New Roman" w:hAnsi="Times New Roman" w:cs="Times New Roman"/>
        </w:rPr>
        <w:t>Start of study: 7/10 with uroliths (6 historical known), 3/10 without uroliths</w:t>
      </w:r>
    </w:p>
    <w:p w14:paraId="7151884B" w14:textId="77777777" w:rsidR="004F0598" w:rsidRDefault="004F0598" w:rsidP="004F0598">
      <w:pPr>
        <w:numPr>
          <w:ilvl w:val="1"/>
          <w:numId w:val="4"/>
        </w:numPr>
        <w:rPr>
          <w:rFonts w:ascii="Times New Roman" w:eastAsia="Times New Roman" w:hAnsi="Times New Roman" w:cs="Times New Roman"/>
          <w:b/>
        </w:rPr>
      </w:pPr>
      <w:r>
        <w:rPr>
          <w:rFonts w:ascii="Times New Roman" w:eastAsia="Times New Roman" w:hAnsi="Times New Roman" w:cs="Times New Roman"/>
          <w:b/>
        </w:rPr>
        <w:t>Otters without uroliths did not develop any, and otters with existing kidney stones did not exhibit any significant difference in stone size during the study</w:t>
      </w:r>
    </w:p>
    <w:p w14:paraId="5FE69975" w14:textId="77777777" w:rsidR="004F0598" w:rsidRDefault="004F0598" w:rsidP="004F0598">
      <w:pPr>
        <w:numPr>
          <w:ilvl w:val="2"/>
          <w:numId w:val="4"/>
        </w:numPr>
        <w:rPr>
          <w:rFonts w:ascii="Times New Roman" w:eastAsia="Times New Roman" w:hAnsi="Times New Roman" w:cs="Times New Roman"/>
        </w:rPr>
      </w:pPr>
      <w:r>
        <w:rPr>
          <w:rFonts w:ascii="Times New Roman" w:eastAsia="Times New Roman" w:hAnsi="Times New Roman" w:cs="Times New Roman"/>
        </w:rPr>
        <w:lastRenderedPageBreak/>
        <w:t>Even though uroliths had increased in size the year prior to study!</w:t>
      </w:r>
    </w:p>
    <w:p w14:paraId="2C9A1338" w14:textId="77777777" w:rsidR="004F0598" w:rsidRDefault="004F0598" w:rsidP="004F0598">
      <w:pPr>
        <w:rPr>
          <w:rFonts w:ascii="Times New Roman" w:eastAsia="Times New Roman" w:hAnsi="Times New Roman" w:cs="Times New Roman"/>
          <w:b/>
        </w:rPr>
      </w:pPr>
    </w:p>
    <w:p w14:paraId="2DE00C88" w14:textId="77777777" w:rsidR="004F0598" w:rsidRDefault="004F0598" w:rsidP="004F0598">
      <w:pPr>
        <w:rPr>
          <w:rFonts w:ascii="Times New Roman" w:eastAsia="Times New Roman" w:hAnsi="Times New Roman" w:cs="Times New Roman"/>
          <w:b/>
        </w:rPr>
      </w:pPr>
      <w:r>
        <w:rPr>
          <w:rFonts w:ascii="Times New Roman" w:eastAsia="Times New Roman" w:hAnsi="Times New Roman" w:cs="Times New Roman"/>
          <w:b/>
        </w:rPr>
        <w:t xml:space="preserve">TLDR: Naturalistic diet (high protein/sodium and low fat/calcium </w:t>
      </w:r>
      <w:proofErr w:type="gramStart"/>
      <w:r>
        <w:rPr>
          <w:rFonts w:ascii="Times New Roman" w:eastAsia="Times New Roman" w:hAnsi="Times New Roman" w:cs="Times New Roman"/>
          <w:b/>
        </w:rPr>
        <w:t>i.e.</w:t>
      </w:r>
      <w:proofErr w:type="gramEnd"/>
      <w:r>
        <w:rPr>
          <w:rFonts w:ascii="Times New Roman" w:eastAsia="Times New Roman" w:hAnsi="Times New Roman" w:cs="Times New Roman"/>
          <w:b/>
        </w:rPr>
        <w:t xml:space="preserve"> crustaceans, mollusks, freshwater fish) may slow development of uroliths in ASCOs</w:t>
      </w:r>
    </w:p>
    <w:p w14:paraId="074D984C" w14:textId="77777777" w:rsidR="004F0598" w:rsidRDefault="004F0598" w:rsidP="004F0598">
      <w:pPr>
        <w:rPr>
          <w:rFonts w:ascii="Times New Roman" w:eastAsia="Times New Roman" w:hAnsi="Times New Roman" w:cs="Times New Roman"/>
          <w:b/>
        </w:rPr>
      </w:pPr>
      <w:r>
        <w:rPr>
          <w:rFonts w:ascii="Times New Roman" w:eastAsia="Times New Roman" w:hAnsi="Times New Roman" w:cs="Times New Roman"/>
          <w:b/>
        </w:rPr>
        <w:br w:type="page"/>
      </w:r>
    </w:p>
    <w:p w14:paraId="46D85BBF" w14:textId="77777777" w:rsidR="004F0598" w:rsidRDefault="004F0598" w:rsidP="004F0598">
      <w:pPr>
        <w:rPr>
          <w:rFonts w:ascii="Times New Roman" w:eastAsia="Times New Roman" w:hAnsi="Times New Roman" w:cs="Times New Roman"/>
        </w:rPr>
      </w:pPr>
      <w:r>
        <w:rPr>
          <w:rFonts w:ascii="Times New Roman" w:eastAsia="Times New Roman" w:hAnsi="Times New Roman" w:cs="Times New Roman"/>
          <w:b/>
        </w:rPr>
        <w:lastRenderedPageBreak/>
        <w:t>DEVELOPMENT OF A MOBILITY ASSESSMENT SCORE FOR EVALUATION OF THE EFFECTS OF ORAL HYALURONIC ACID ON CLINICAL LAMENESS IN ASIAN SMALL-CLAWED OTTERS (AONYX CINEREA) AND AFRICAN SPOT-NECKED OTTERS (HYDRICTIS MACULICOLIS) UNDER HUMAN CARE</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J</w:t>
      </w:r>
      <w:r>
        <w:rPr>
          <w:rFonts w:ascii="Times New Roman" w:eastAsia="Times New Roman" w:hAnsi="Times New Roman" w:cs="Times New Roman"/>
        </w:rPr>
        <w:t xml:space="preserve">ZWM </w:t>
      </w:r>
      <w:r>
        <w:rPr>
          <w:rFonts w:ascii="Times New Roman" w:eastAsia="Times New Roman" w:hAnsi="Times New Roman" w:cs="Times New Roman"/>
          <w:color w:val="000000"/>
        </w:rPr>
        <w:t xml:space="preserve">2022. </w:t>
      </w:r>
      <w:r>
        <w:rPr>
          <w:rFonts w:ascii="Times New Roman" w:eastAsia="Times New Roman" w:hAnsi="Times New Roman" w:cs="Times New Roman"/>
        </w:rPr>
        <w:t xml:space="preserve">Russell, Jennifer, Francis, Lindsay, Russell, Neil J., Osborn, Steven, and Dennison, Sophie. - review by </w:t>
      </w:r>
      <w:proofErr w:type="spellStart"/>
      <w:r>
        <w:rPr>
          <w:rFonts w:ascii="Times New Roman" w:eastAsia="Times New Roman" w:hAnsi="Times New Roman" w:cs="Times New Roman"/>
        </w:rPr>
        <w:t>LMumm</w:t>
      </w:r>
      <w:proofErr w:type="spellEnd"/>
    </w:p>
    <w:p w14:paraId="75449ACE" w14:textId="77777777" w:rsidR="004F0598" w:rsidRDefault="004F0598" w:rsidP="004F0598">
      <w:pPr>
        <w:rPr>
          <w:rFonts w:ascii="Times New Roman" w:eastAsia="Times New Roman" w:hAnsi="Times New Roman" w:cs="Times New Roman"/>
          <w:color w:val="000000"/>
          <w:sz w:val="20"/>
          <w:szCs w:val="20"/>
        </w:rPr>
      </w:pPr>
    </w:p>
    <w:p w14:paraId="63F3CAAB" w14:textId="77777777" w:rsidR="004F0598" w:rsidRDefault="004F0598" w:rsidP="004F0598">
      <w:pPr>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rPr>
        <w:t>Abstract: </w:t>
      </w:r>
      <w:r>
        <w:rPr>
          <w:rFonts w:ascii="Times New Roman" w:eastAsia="Times New Roman" w:hAnsi="Times New Roman" w:cs="Times New Roman"/>
          <w:sz w:val="20"/>
          <w:szCs w:val="20"/>
        </w:rPr>
        <w:t xml:space="preserve">Oral hyaluronic acid has been shown to reduce inflammation and pain in humans with osteoarthritis. </w:t>
      </w:r>
      <w:r>
        <w:rPr>
          <w:rFonts w:ascii="Times New Roman" w:eastAsia="Times New Roman" w:hAnsi="Times New Roman" w:cs="Times New Roman"/>
          <w:sz w:val="20"/>
          <w:szCs w:val="20"/>
          <w:highlight w:val="yellow"/>
        </w:rPr>
        <w:t>Eight Asian small-clawed otters (</w:t>
      </w:r>
      <w:proofErr w:type="spellStart"/>
      <w:r>
        <w:rPr>
          <w:rFonts w:ascii="Times New Roman" w:eastAsia="Times New Roman" w:hAnsi="Times New Roman" w:cs="Times New Roman"/>
          <w:sz w:val="20"/>
          <w:szCs w:val="20"/>
          <w:highlight w:val="yellow"/>
        </w:rPr>
        <w:t>Aonyx</w:t>
      </w:r>
      <w:proofErr w:type="spellEnd"/>
      <w:r>
        <w:rPr>
          <w:rFonts w:ascii="Times New Roman" w:eastAsia="Times New Roman" w:hAnsi="Times New Roman" w:cs="Times New Roman"/>
          <w:sz w:val="20"/>
          <w:szCs w:val="20"/>
          <w:highlight w:val="yellow"/>
        </w:rPr>
        <w:t xml:space="preserve"> cinerea) and two African spot-necked otters (</w:t>
      </w:r>
      <w:proofErr w:type="spellStart"/>
      <w:r>
        <w:rPr>
          <w:rFonts w:ascii="Times New Roman" w:eastAsia="Times New Roman" w:hAnsi="Times New Roman" w:cs="Times New Roman"/>
          <w:sz w:val="20"/>
          <w:szCs w:val="20"/>
          <w:highlight w:val="yellow"/>
        </w:rPr>
        <w:t>Hydrictis</w:t>
      </w:r>
      <w:proofErr w:type="spellEnd"/>
      <w:r>
        <w:rPr>
          <w:rFonts w:ascii="Times New Roman" w:eastAsia="Times New Roman" w:hAnsi="Times New Roman" w:cs="Times New Roman"/>
          <w:sz w:val="20"/>
          <w:szCs w:val="20"/>
          <w:highlight w:val="yellow"/>
        </w:rPr>
        <w:t xml:space="preserve"> </w:t>
      </w:r>
      <w:proofErr w:type="spellStart"/>
      <w:r>
        <w:rPr>
          <w:rFonts w:ascii="Times New Roman" w:eastAsia="Times New Roman" w:hAnsi="Times New Roman" w:cs="Times New Roman"/>
          <w:sz w:val="20"/>
          <w:szCs w:val="20"/>
          <w:highlight w:val="yellow"/>
        </w:rPr>
        <w:t>maculicolis</w:t>
      </w:r>
      <w:proofErr w:type="spellEnd"/>
      <w:r>
        <w:rPr>
          <w:rFonts w:ascii="Times New Roman" w:eastAsia="Times New Roman" w:hAnsi="Times New Roman" w:cs="Times New Roman"/>
          <w:sz w:val="20"/>
          <w:szCs w:val="20"/>
          <w:highlight w:val="yellow"/>
        </w:rPr>
        <w:t xml:space="preserve">) with varying degrees of osteoarthritic changes identified on radiographs were selected for a randomized, </w:t>
      </w:r>
      <w:proofErr w:type="spellStart"/>
      <w:r>
        <w:rPr>
          <w:rFonts w:ascii="Times New Roman" w:eastAsia="Times New Roman" w:hAnsi="Times New Roman" w:cs="Times New Roman"/>
          <w:sz w:val="20"/>
          <w:szCs w:val="20"/>
          <w:highlight w:val="yellow"/>
        </w:rPr>
        <w:t>doubleblinded</w:t>
      </w:r>
      <w:proofErr w:type="spellEnd"/>
      <w:r>
        <w:rPr>
          <w:rFonts w:ascii="Times New Roman" w:eastAsia="Times New Roman" w:hAnsi="Times New Roman" w:cs="Times New Roman"/>
          <w:sz w:val="20"/>
          <w:szCs w:val="20"/>
          <w:highlight w:val="yellow"/>
        </w:rPr>
        <w:t>, placebo-controlled clinical trial.</w:t>
      </w:r>
      <w:r>
        <w:rPr>
          <w:rFonts w:ascii="Times New Roman" w:eastAsia="Times New Roman" w:hAnsi="Times New Roman" w:cs="Times New Roman"/>
          <w:sz w:val="20"/>
          <w:szCs w:val="20"/>
        </w:rPr>
        <w:t xml:space="preserve"> Animal husbandry staff completed otter mobility assessment (OMA) questionnaires for each animal prior to study commencement and following </w:t>
      </w:r>
      <w:r>
        <w:rPr>
          <w:rFonts w:ascii="Times New Roman" w:eastAsia="Times New Roman" w:hAnsi="Times New Roman" w:cs="Times New Roman"/>
          <w:sz w:val="20"/>
          <w:szCs w:val="20"/>
          <w:u w:val="single"/>
        </w:rPr>
        <w:t>either oral hyaluronic acid at a loading dose of 4 mg/kg PO SID for 10d followed by a maintenance dose of 2 mg/kg PO SID for 20 d, or placebo for 30 d.</w:t>
      </w:r>
      <w:r>
        <w:rPr>
          <w:rFonts w:ascii="Times New Roman" w:eastAsia="Times New Roman" w:hAnsi="Times New Roman" w:cs="Times New Roman"/>
          <w:sz w:val="20"/>
          <w:szCs w:val="20"/>
        </w:rPr>
        <w:t xml:space="preserve"> Four veterinarians with experience assessing otters watched randomized videos of otter gaits and assigned a clinical lameness score. Two additional evaluators watched the videos: an experienced veterinarian in small animal practice and a final-year veterinary student. All evaluators for OMA and clinical lameness score were blinded to treatment group. Radiographs performed prior to, and following, the study were assessed by a board-certified radiologist (Dennison). The OMA questionnaire had high reliability coefficients and correlated strongly with clinical gait scores and radiographic assessment. </w:t>
      </w:r>
      <w:r>
        <w:rPr>
          <w:rFonts w:ascii="Times New Roman" w:eastAsia="Times New Roman" w:hAnsi="Times New Roman" w:cs="Times New Roman"/>
          <w:sz w:val="20"/>
          <w:szCs w:val="20"/>
          <w:highlight w:val="yellow"/>
        </w:rPr>
        <w:t xml:space="preserve">Although hyaluronic acid appears to be safe for use in otters at the dose described, </w:t>
      </w:r>
      <w:r>
        <w:rPr>
          <w:rFonts w:ascii="Times New Roman" w:eastAsia="Times New Roman" w:hAnsi="Times New Roman" w:cs="Times New Roman"/>
          <w:b/>
          <w:sz w:val="20"/>
          <w:szCs w:val="20"/>
          <w:highlight w:val="yellow"/>
        </w:rPr>
        <w:t>there was no observed significant effect of hyaluronic acid on clinical lameness scores, OMA scores, or radiographic assessment of the limbs.</w:t>
      </w:r>
      <w:r>
        <w:rPr>
          <w:rFonts w:ascii="Times New Roman" w:eastAsia="Times New Roman" w:hAnsi="Times New Roman" w:cs="Times New Roman"/>
          <w:sz w:val="20"/>
          <w:szCs w:val="20"/>
          <w:highlight w:val="yellow"/>
        </w:rPr>
        <w:t xml:space="preserve"> The development of the OMA questionnaire is a promising tool for evaluating lameness in managed-care otters and may be further validated in future studies investigating therapeutics or incorporated as a component of animal welfare assessment.</w:t>
      </w:r>
    </w:p>
    <w:p w14:paraId="1AB2E973" w14:textId="77777777" w:rsidR="004F0598" w:rsidRDefault="004F0598" w:rsidP="004F0598">
      <w:pPr>
        <w:rPr>
          <w:rFonts w:ascii="Times New Roman" w:eastAsia="Times New Roman" w:hAnsi="Times New Roman" w:cs="Times New Roman"/>
        </w:rPr>
      </w:pPr>
    </w:p>
    <w:p w14:paraId="5CB2A6C2" w14:textId="77777777" w:rsidR="004F0598" w:rsidRDefault="004F0598" w:rsidP="004F0598">
      <w:pPr>
        <w:rPr>
          <w:rFonts w:ascii="Times New Roman" w:eastAsia="Times New Roman" w:hAnsi="Times New Roman" w:cs="Times New Roman"/>
        </w:rPr>
      </w:pPr>
      <w:r>
        <w:rPr>
          <w:rFonts w:ascii="Times New Roman" w:eastAsia="Times New Roman" w:hAnsi="Times New Roman" w:cs="Times New Roman"/>
          <w:color w:val="000000"/>
        </w:rPr>
        <w:t>Background: </w:t>
      </w:r>
    </w:p>
    <w:p w14:paraId="4CB45357" w14:textId="77777777" w:rsidR="004F0598" w:rsidRDefault="004F0598" w:rsidP="004F0598">
      <w:pPr>
        <w:numPr>
          <w:ilvl w:val="0"/>
          <w:numId w:val="5"/>
        </w:numPr>
        <w:rPr>
          <w:rFonts w:ascii="Times New Roman" w:eastAsia="Times New Roman" w:hAnsi="Times New Roman" w:cs="Times New Roman"/>
          <w:color w:val="000000"/>
        </w:rPr>
      </w:pPr>
      <w:r>
        <w:rPr>
          <w:rFonts w:ascii="Times New Roman" w:eastAsia="Times New Roman" w:hAnsi="Times New Roman" w:cs="Times New Roman"/>
          <w:color w:val="000000"/>
        </w:rPr>
        <w:t>Hyaluronic acid (HA</w:t>
      </w:r>
      <w:r>
        <w:rPr>
          <w:rFonts w:ascii="Times New Roman" w:eastAsia="Times New Roman" w:hAnsi="Times New Roman" w:cs="Times New Roman"/>
        </w:rPr>
        <w:t>) = h</w:t>
      </w:r>
      <w:r>
        <w:rPr>
          <w:rFonts w:ascii="Times New Roman" w:eastAsia="Times New Roman" w:hAnsi="Times New Roman" w:cs="Times New Roman"/>
          <w:color w:val="000000"/>
        </w:rPr>
        <w:t>igh-molecular-weight glycosaminoglycan in synovial fluid</w:t>
      </w:r>
    </w:p>
    <w:p w14:paraId="3CEE1BE7" w14:textId="77777777" w:rsidR="004F0598" w:rsidRDefault="004F0598" w:rsidP="004F0598">
      <w:pPr>
        <w:numPr>
          <w:ilvl w:val="1"/>
          <w:numId w:val="5"/>
        </w:numPr>
        <w:rPr>
          <w:rFonts w:ascii="Times New Roman" w:eastAsia="Times New Roman" w:hAnsi="Times New Roman" w:cs="Times New Roman"/>
          <w:color w:val="000000"/>
        </w:rPr>
      </w:pPr>
      <w:r>
        <w:rPr>
          <w:rFonts w:ascii="Times New Roman" w:eastAsia="Times New Roman" w:hAnsi="Times New Roman" w:cs="Times New Roman"/>
          <w:color w:val="000000"/>
        </w:rPr>
        <w:t>Produced by chondrocytes and synovial fibroblasts</w:t>
      </w:r>
    </w:p>
    <w:p w14:paraId="15B14AF5" w14:textId="77777777" w:rsidR="004F0598" w:rsidRDefault="004F0598" w:rsidP="004F0598">
      <w:pPr>
        <w:numPr>
          <w:ilvl w:val="1"/>
          <w:numId w:val="5"/>
        </w:numPr>
        <w:rPr>
          <w:rFonts w:ascii="Times New Roman" w:eastAsia="Times New Roman" w:hAnsi="Times New Roman" w:cs="Times New Roman"/>
        </w:rPr>
      </w:pPr>
      <w:r>
        <w:rPr>
          <w:rFonts w:ascii="Times New Roman" w:eastAsia="Times New Roman" w:hAnsi="Times New Roman" w:cs="Times New Roman"/>
        </w:rPr>
        <w:t>Provides viscoelastic and lubricating properties of synovial fluid; functions shock absorber and protects outer layer of cartilage</w:t>
      </w:r>
    </w:p>
    <w:p w14:paraId="4D954AE8" w14:textId="77777777" w:rsidR="004F0598" w:rsidRDefault="004F0598" w:rsidP="004F0598">
      <w:pPr>
        <w:numPr>
          <w:ilvl w:val="1"/>
          <w:numId w:val="5"/>
        </w:numPr>
        <w:rPr>
          <w:rFonts w:ascii="Times New Roman" w:eastAsia="Times New Roman" w:hAnsi="Times New Roman" w:cs="Times New Roman"/>
        </w:rPr>
      </w:pPr>
      <w:r>
        <w:rPr>
          <w:rFonts w:ascii="Times New Roman" w:eastAsia="Times New Roman" w:hAnsi="Times New Roman" w:cs="Times New Roman"/>
        </w:rPr>
        <w:t>Intra-articular injection reduces inflammation (PGE2) and pain in humans with OA</w:t>
      </w:r>
    </w:p>
    <w:p w14:paraId="73677F12" w14:textId="77777777" w:rsidR="004F0598" w:rsidRDefault="004F0598" w:rsidP="004F0598">
      <w:pPr>
        <w:numPr>
          <w:ilvl w:val="1"/>
          <w:numId w:val="5"/>
        </w:numPr>
        <w:rPr>
          <w:rFonts w:ascii="Times New Roman" w:eastAsia="Times New Roman" w:hAnsi="Times New Roman" w:cs="Times New Roman"/>
          <w:color w:val="000000"/>
        </w:rPr>
      </w:pPr>
      <w:r>
        <w:rPr>
          <w:rFonts w:ascii="Times New Roman" w:eastAsia="Times New Roman" w:hAnsi="Times New Roman" w:cs="Times New Roman"/>
          <w:color w:val="000000"/>
        </w:rPr>
        <w:t>Oral formulation reduces risk of iatrogenic trauma/infection</w:t>
      </w:r>
    </w:p>
    <w:p w14:paraId="6482B8BE" w14:textId="77777777" w:rsidR="004F0598" w:rsidRDefault="004F0598" w:rsidP="004F0598">
      <w:pPr>
        <w:numPr>
          <w:ilvl w:val="0"/>
          <w:numId w:val="5"/>
        </w:numPr>
        <w:rPr>
          <w:rFonts w:ascii="Times New Roman" w:eastAsia="Times New Roman" w:hAnsi="Times New Roman" w:cs="Times New Roman"/>
          <w:color w:val="000000"/>
        </w:rPr>
      </w:pPr>
      <w:r>
        <w:rPr>
          <w:rFonts w:ascii="Times New Roman" w:eastAsia="Times New Roman" w:hAnsi="Times New Roman" w:cs="Times New Roman"/>
          <w:color w:val="000000"/>
        </w:rPr>
        <w:t>Degenerative joint disease</w:t>
      </w:r>
      <w:r>
        <w:rPr>
          <w:rFonts w:ascii="Times New Roman" w:eastAsia="Times New Roman" w:hAnsi="Times New Roman" w:cs="Times New Roman"/>
        </w:rPr>
        <w:t xml:space="preserve"> = c</w:t>
      </w:r>
      <w:r>
        <w:rPr>
          <w:rFonts w:ascii="Times New Roman" w:eastAsia="Times New Roman" w:hAnsi="Times New Roman" w:cs="Times New Roman"/>
          <w:color w:val="000000"/>
        </w:rPr>
        <w:t>ommon in mustelids</w:t>
      </w:r>
    </w:p>
    <w:p w14:paraId="05F63DC0" w14:textId="77777777" w:rsidR="004F0598" w:rsidRDefault="004F0598" w:rsidP="004F0598">
      <w:pPr>
        <w:rPr>
          <w:rFonts w:ascii="Times New Roman" w:eastAsia="Times New Roman" w:hAnsi="Times New Roman" w:cs="Times New Roman"/>
        </w:rPr>
      </w:pPr>
    </w:p>
    <w:p w14:paraId="52AB915E" w14:textId="77777777" w:rsidR="004F0598" w:rsidRDefault="004F0598" w:rsidP="004F0598">
      <w:pPr>
        <w:rPr>
          <w:rFonts w:ascii="Times New Roman" w:eastAsia="Times New Roman" w:hAnsi="Times New Roman" w:cs="Times New Roman"/>
        </w:rPr>
      </w:pPr>
      <w:r>
        <w:rPr>
          <w:rFonts w:ascii="Times New Roman" w:eastAsia="Times New Roman" w:hAnsi="Times New Roman" w:cs="Times New Roman"/>
          <w:color w:val="000000"/>
        </w:rPr>
        <w:t xml:space="preserve">Objective: determine </w:t>
      </w:r>
      <w:r>
        <w:rPr>
          <w:rFonts w:ascii="Times New Roman" w:eastAsia="Times New Roman" w:hAnsi="Times New Roman" w:cs="Times New Roman"/>
        </w:rPr>
        <w:t>if</w:t>
      </w:r>
      <w:r>
        <w:rPr>
          <w:rFonts w:ascii="Times New Roman" w:eastAsia="Times New Roman" w:hAnsi="Times New Roman" w:cs="Times New Roman"/>
          <w:color w:val="000000"/>
        </w:rPr>
        <w:t xml:space="preserve"> HA liquid supplement</w:t>
      </w:r>
      <w:r>
        <w:rPr>
          <w:rFonts w:ascii="Times New Roman" w:eastAsia="Times New Roman" w:hAnsi="Times New Roman" w:cs="Times New Roman"/>
        </w:rPr>
        <w:t xml:space="preserve"> improves </w:t>
      </w:r>
      <w:r>
        <w:rPr>
          <w:rFonts w:ascii="Times New Roman" w:eastAsia="Times New Roman" w:hAnsi="Times New Roman" w:cs="Times New Roman"/>
          <w:color w:val="000000"/>
        </w:rPr>
        <w:t>clinical signs, behavior or radiographically appreciable</w:t>
      </w:r>
      <w:r>
        <w:rPr>
          <w:rFonts w:ascii="Times New Roman" w:eastAsia="Times New Roman" w:hAnsi="Times New Roman" w:cs="Times New Roman"/>
        </w:rPr>
        <w:t xml:space="preserve"> OA in </w:t>
      </w:r>
      <w:r>
        <w:rPr>
          <w:rFonts w:ascii="Times New Roman" w:eastAsia="Times New Roman" w:hAnsi="Times New Roman" w:cs="Times New Roman"/>
          <w:color w:val="000000"/>
        </w:rPr>
        <w:t xml:space="preserve">Asian </w:t>
      </w:r>
      <w:proofErr w:type="gramStart"/>
      <w:r>
        <w:rPr>
          <w:rFonts w:ascii="Times New Roman" w:eastAsia="Times New Roman" w:hAnsi="Times New Roman" w:cs="Times New Roman"/>
          <w:color w:val="000000"/>
        </w:rPr>
        <w:t>small clawed</w:t>
      </w:r>
      <w:proofErr w:type="gramEnd"/>
      <w:r>
        <w:rPr>
          <w:rFonts w:ascii="Times New Roman" w:eastAsia="Times New Roman" w:hAnsi="Times New Roman" w:cs="Times New Roman"/>
          <w:color w:val="000000"/>
        </w:rPr>
        <w:t xml:space="preserve"> otters (n=8) and African spot</w:t>
      </w:r>
      <w:r>
        <w:rPr>
          <w:rFonts w:ascii="Times New Roman" w:eastAsia="Times New Roman" w:hAnsi="Times New Roman" w:cs="Times New Roman"/>
        </w:rPr>
        <w:t>-</w:t>
      </w:r>
      <w:r>
        <w:rPr>
          <w:rFonts w:ascii="Times New Roman" w:eastAsia="Times New Roman" w:hAnsi="Times New Roman" w:cs="Times New Roman"/>
          <w:color w:val="000000"/>
        </w:rPr>
        <w:t>necked otters (n=2)</w:t>
      </w:r>
    </w:p>
    <w:p w14:paraId="1AF499D8" w14:textId="77777777" w:rsidR="004F0598" w:rsidRDefault="004F0598" w:rsidP="004F0598">
      <w:pPr>
        <w:numPr>
          <w:ilvl w:val="0"/>
          <w:numId w:val="5"/>
        </w:numPr>
        <w:rPr>
          <w:rFonts w:ascii="Times New Roman" w:eastAsia="Times New Roman" w:hAnsi="Times New Roman" w:cs="Times New Roman"/>
          <w:color w:val="000000"/>
        </w:rPr>
      </w:pPr>
      <w:r>
        <w:rPr>
          <w:rFonts w:ascii="Times New Roman" w:eastAsia="Times New Roman" w:hAnsi="Times New Roman" w:cs="Times New Roman"/>
        </w:rPr>
        <w:t>Assessed with OMA, lameness scores, and radiographs interpreted by radiologist</w:t>
      </w:r>
    </w:p>
    <w:p w14:paraId="34BEAD04" w14:textId="77777777" w:rsidR="004F0598" w:rsidRDefault="004F0598" w:rsidP="004F0598">
      <w:pPr>
        <w:numPr>
          <w:ilvl w:val="0"/>
          <w:numId w:val="5"/>
        </w:numPr>
        <w:rPr>
          <w:rFonts w:ascii="Times New Roman" w:eastAsia="Times New Roman" w:hAnsi="Times New Roman" w:cs="Times New Roman"/>
          <w:color w:val="000000"/>
        </w:rPr>
      </w:pPr>
      <w:r>
        <w:rPr>
          <w:rFonts w:ascii="Times New Roman" w:eastAsia="Times New Roman" w:hAnsi="Times New Roman" w:cs="Times New Roman"/>
        </w:rPr>
        <w:t>Evaluators (aquatic vet, vet student, small animal vet, caretakers)</w:t>
      </w:r>
      <w:r>
        <w:rPr>
          <w:rFonts w:ascii="Times New Roman" w:eastAsia="Times New Roman" w:hAnsi="Times New Roman" w:cs="Times New Roman"/>
          <w:color w:val="000000"/>
        </w:rPr>
        <w:t xml:space="preserve"> blinded to treatment</w:t>
      </w:r>
    </w:p>
    <w:p w14:paraId="1200391D" w14:textId="77777777" w:rsidR="004F0598" w:rsidRDefault="004F0598" w:rsidP="004F0598">
      <w:pPr>
        <w:rPr>
          <w:rFonts w:ascii="Times New Roman" w:eastAsia="Times New Roman" w:hAnsi="Times New Roman" w:cs="Times New Roman"/>
        </w:rPr>
      </w:pPr>
    </w:p>
    <w:p w14:paraId="2D9BCC07" w14:textId="77777777" w:rsidR="004F0598" w:rsidRDefault="004F0598" w:rsidP="004F0598">
      <w:pPr>
        <w:rPr>
          <w:rFonts w:ascii="Times New Roman" w:eastAsia="Times New Roman" w:hAnsi="Times New Roman" w:cs="Times New Roman"/>
        </w:rPr>
      </w:pPr>
      <w:r>
        <w:rPr>
          <w:rFonts w:ascii="Times New Roman" w:eastAsia="Times New Roman" w:hAnsi="Times New Roman" w:cs="Times New Roman"/>
        </w:rPr>
        <w:t>Key Points:</w:t>
      </w:r>
    </w:p>
    <w:p w14:paraId="4CEEEEC0" w14:textId="77777777" w:rsidR="004F0598" w:rsidRDefault="004F0598" w:rsidP="004F0598">
      <w:pPr>
        <w:numPr>
          <w:ilvl w:val="0"/>
          <w:numId w:val="5"/>
        </w:numPr>
        <w:rPr>
          <w:rFonts w:ascii="Times New Roman" w:eastAsia="Times New Roman" w:hAnsi="Times New Roman" w:cs="Times New Roman"/>
          <w:color w:val="000000"/>
        </w:rPr>
      </w:pPr>
      <w:r>
        <w:rPr>
          <w:rFonts w:ascii="Times New Roman" w:eastAsia="Times New Roman" w:hAnsi="Times New Roman" w:cs="Times New Roman"/>
        </w:rPr>
        <w:t>No adverse effects from PO HA throughout study duration</w:t>
      </w:r>
    </w:p>
    <w:p w14:paraId="054A1D29" w14:textId="77777777" w:rsidR="004F0598" w:rsidRDefault="004F0598" w:rsidP="004F0598">
      <w:pPr>
        <w:numPr>
          <w:ilvl w:val="0"/>
          <w:numId w:val="5"/>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Lameness scores more reliable from 4 aquatic vets </w:t>
      </w:r>
      <w:r>
        <w:rPr>
          <w:rFonts w:ascii="Times New Roman" w:eastAsia="Times New Roman" w:hAnsi="Times New Roman" w:cs="Times New Roman"/>
        </w:rPr>
        <w:t>vs.</w:t>
      </w:r>
      <w:r>
        <w:rPr>
          <w:rFonts w:ascii="Times New Roman" w:eastAsia="Times New Roman" w:hAnsi="Times New Roman" w:cs="Times New Roman"/>
          <w:color w:val="000000"/>
        </w:rPr>
        <w:t xml:space="preserve"> vet student and small animal vet</w:t>
      </w:r>
    </w:p>
    <w:p w14:paraId="074D6678" w14:textId="77777777" w:rsidR="004F0598" w:rsidRDefault="004F0598" w:rsidP="004F0598">
      <w:pPr>
        <w:numPr>
          <w:ilvl w:val="0"/>
          <w:numId w:val="5"/>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No significant radiographic differences found between </w:t>
      </w:r>
      <w:proofErr w:type="gramStart"/>
      <w:r>
        <w:rPr>
          <w:rFonts w:ascii="Times New Roman" w:eastAsia="Times New Roman" w:hAnsi="Times New Roman" w:cs="Times New Roman"/>
          <w:color w:val="000000"/>
        </w:rPr>
        <w:t>pre</w:t>
      </w:r>
      <w:proofErr w:type="gramEnd"/>
      <w:r>
        <w:rPr>
          <w:rFonts w:ascii="Times New Roman" w:eastAsia="Times New Roman" w:hAnsi="Times New Roman" w:cs="Times New Roman"/>
          <w:color w:val="000000"/>
        </w:rPr>
        <w:t xml:space="preserve"> a</w:t>
      </w:r>
      <w:r>
        <w:rPr>
          <w:rFonts w:ascii="Times New Roman" w:eastAsia="Times New Roman" w:hAnsi="Times New Roman" w:cs="Times New Roman"/>
        </w:rPr>
        <w:t>nd post-HA treatment in forelimbs and hindlimbs, but there was increased spondylosis deformans and narrowed disc spaces post-</w:t>
      </w:r>
      <w:proofErr w:type="spellStart"/>
      <w:r>
        <w:rPr>
          <w:rFonts w:ascii="Times New Roman" w:eastAsia="Times New Roman" w:hAnsi="Times New Roman" w:cs="Times New Roman"/>
        </w:rPr>
        <w:t>tx</w:t>
      </w:r>
      <w:proofErr w:type="spellEnd"/>
    </w:p>
    <w:p w14:paraId="3F60C264" w14:textId="77777777" w:rsidR="004F0598" w:rsidRDefault="004F0598" w:rsidP="004F0598">
      <w:pPr>
        <w:numPr>
          <w:ilvl w:val="0"/>
          <w:numId w:val="5"/>
        </w:numPr>
        <w:rPr>
          <w:rFonts w:ascii="Times New Roman" w:eastAsia="Times New Roman" w:hAnsi="Times New Roman" w:cs="Times New Roman"/>
        </w:rPr>
      </w:pPr>
      <w:r>
        <w:rPr>
          <w:rFonts w:ascii="Times New Roman" w:eastAsia="Times New Roman" w:hAnsi="Times New Roman" w:cs="Times New Roman"/>
        </w:rPr>
        <w:t xml:space="preserve">OMA questionnaire is a reliable and quantitative assessment </w:t>
      </w:r>
    </w:p>
    <w:p w14:paraId="7E0E4406" w14:textId="77777777" w:rsidR="004F0598" w:rsidRDefault="004F0598" w:rsidP="004F0598">
      <w:pPr>
        <w:numPr>
          <w:ilvl w:val="1"/>
          <w:numId w:val="5"/>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Animals with lower clinical lameness had </w:t>
      </w:r>
      <w:r>
        <w:rPr>
          <w:rFonts w:ascii="Times New Roman" w:eastAsia="Times New Roman" w:hAnsi="Times New Roman" w:cs="Times New Roman"/>
        </w:rPr>
        <w:t xml:space="preserve">higher OMA scores (better QOL) </w:t>
      </w:r>
    </w:p>
    <w:p w14:paraId="0454A83F" w14:textId="77777777" w:rsidR="004F0598" w:rsidRDefault="004F0598" w:rsidP="004F0598">
      <w:pPr>
        <w:numPr>
          <w:ilvl w:val="1"/>
          <w:numId w:val="5"/>
        </w:numPr>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OMA </w:t>
      </w:r>
      <w:r>
        <w:rPr>
          <w:rFonts w:ascii="Times New Roman" w:eastAsia="Times New Roman" w:hAnsi="Times New Roman" w:cs="Times New Roman"/>
        </w:rPr>
        <w:t>scores had a</w:t>
      </w:r>
      <w:r>
        <w:rPr>
          <w:rFonts w:ascii="Times New Roman" w:eastAsia="Times New Roman" w:hAnsi="Times New Roman" w:cs="Times New Roman"/>
          <w:color w:val="000000"/>
        </w:rPr>
        <w:t xml:space="preserve"> negative </w:t>
      </w:r>
      <w:r>
        <w:rPr>
          <w:rFonts w:ascii="Times New Roman" w:eastAsia="Times New Roman" w:hAnsi="Times New Roman" w:cs="Times New Roman"/>
        </w:rPr>
        <w:t xml:space="preserve">(inverse) </w:t>
      </w:r>
      <w:r>
        <w:rPr>
          <w:rFonts w:ascii="Times New Roman" w:eastAsia="Times New Roman" w:hAnsi="Times New Roman" w:cs="Times New Roman"/>
          <w:color w:val="000000"/>
        </w:rPr>
        <w:t>correlation with radio</w:t>
      </w:r>
      <w:r>
        <w:rPr>
          <w:rFonts w:ascii="Times New Roman" w:eastAsia="Times New Roman" w:hAnsi="Times New Roman" w:cs="Times New Roman"/>
        </w:rPr>
        <w:t>graphic FL and HL evals</w:t>
      </w:r>
    </w:p>
    <w:p w14:paraId="3EC73B59" w14:textId="77777777" w:rsidR="004F0598" w:rsidRDefault="004F0598" w:rsidP="004F0598">
      <w:pPr>
        <w:numPr>
          <w:ilvl w:val="2"/>
          <w:numId w:val="5"/>
        </w:numPr>
        <w:rPr>
          <w:rFonts w:ascii="Times New Roman" w:eastAsia="Times New Roman" w:hAnsi="Times New Roman" w:cs="Times New Roman"/>
        </w:rPr>
      </w:pPr>
      <w:r>
        <w:rPr>
          <w:rFonts w:ascii="Times New Roman" w:eastAsia="Times New Roman" w:hAnsi="Times New Roman" w:cs="Times New Roman"/>
        </w:rPr>
        <w:t>Higher OMA scores correlated with fewer radiographic changes</w:t>
      </w:r>
    </w:p>
    <w:p w14:paraId="7C3CA397" w14:textId="77777777" w:rsidR="004F0598" w:rsidRDefault="004F0598" w:rsidP="004F0598">
      <w:pPr>
        <w:numPr>
          <w:ilvl w:val="1"/>
          <w:numId w:val="5"/>
        </w:numPr>
        <w:rPr>
          <w:rFonts w:ascii="Times New Roman" w:eastAsia="Times New Roman" w:hAnsi="Times New Roman" w:cs="Times New Roman"/>
          <w:color w:val="000000"/>
        </w:rPr>
      </w:pPr>
      <w:r>
        <w:rPr>
          <w:rFonts w:ascii="Times New Roman" w:eastAsia="Times New Roman" w:hAnsi="Times New Roman" w:cs="Times New Roman"/>
          <w:color w:val="000000"/>
        </w:rPr>
        <w:t>OMA scores did not correlate with</w:t>
      </w:r>
      <w:r>
        <w:rPr>
          <w:rFonts w:ascii="Times New Roman" w:eastAsia="Times New Roman" w:hAnsi="Times New Roman" w:cs="Times New Roman"/>
        </w:rPr>
        <w:t xml:space="preserve"> radiographic</w:t>
      </w:r>
      <w:r>
        <w:rPr>
          <w:rFonts w:ascii="Times New Roman" w:eastAsia="Times New Roman" w:hAnsi="Times New Roman" w:cs="Times New Roman"/>
          <w:color w:val="000000"/>
        </w:rPr>
        <w:t xml:space="preserve"> spinal evaluations</w:t>
      </w:r>
    </w:p>
    <w:p w14:paraId="3D5CC507" w14:textId="77777777" w:rsidR="004F0598" w:rsidRDefault="004F0598" w:rsidP="004F0598">
      <w:pPr>
        <w:numPr>
          <w:ilvl w:val="0"/>
          <w:numId w:val="5"/>
        </w:numPr>
        <w:rPr>
          <w:rFonts w:ascii="Times New Roman" w:eastAsia="Times New Roman" w:hAnsi="Times New Roman" w:cs="Times New Roman"/>
          <w:color w:val="000000"/>
        </w:rPr>
      </w:pPr>
      <w:r>
        <w:rPr>
          <w:rFonts w:ascii="Times New Roman" w:eastAsia="Times New Roman" w:hAnsi="Times New Roman" w:cs="Times New Roman"/>
          <w:color w:val="000000"/>
        </w:rPr>
        <w:t>No observed effect of hyaluronic acid on clinical lameness scores or OMA score</w:t>
      </w:r>
    </w:p>
    <w:p w14:paraId="2AFF6A0C" w14:textId="77777777" w:rsidR="004F0598" w:rsidRDefault="004F0598" w:rsidP="004F0598">
      <w:pPr>
        <w:rPr>
          <w:rFonts w:ascii="Times New Roman" w:eastAsia="Times New Roman" w:hAnsi="Times New Roman" w:cs="Times New Roman"/>
        </w:rPr>
      </w:pPr>
    </w:p>
    <w:p w14:paraId="2394134C" w14:textId="77777777" w:rsidR="004F0598" w:rsidRDefault="004F0598" w:rsidP="004F0598">
      <w:pPr>
        <w:rPr>
          <w:rFonts w:ascii="Times New Roman" w:eastAsia="Times New Roman" w:hAnsi="Times New Roman" w:cs="Times New Roman"/>
          <w:b/>
        </w:rPr>
      </w:pPr>
      <w:r>
        <w:rPr>
          <w:rFonts w:ascii="Times New Roman" w:eastAsia="Times New Roman" w:hAnsi="Times New Roman" w:cs="Times New Roman"/>
          <w:b/>
        </w:rPr>
        <w:t>TLDR: HA 2 mg/kg PO SID x 30 days is safe in otters but there is no clinical effect on lameness/mobility scores.</w:t>
      </w:r>
    </w:p>
    <w:p w14:paraId="02B50249" w14:textId="77777777" w:rsidR="004F0598" w:rsidRDefault="004F0598" w:rsidP="004F0598">
      <w:pPr>
        <w:rPr>
          <w:rFonts w:ascii="Times New Roman" w:eastAsia="Times New Roman" w:hAnsi="Times New Roman" w:cs="Times New Roman"/>
          <w:b/>
        </w:rPr>
      </w:pPr>
    </w:p>
    <w:p w14:paraId="47B94AD5" w14:textId="77777777" w:rsidR="004F0598" w:rsidRPr="00C44C73" w:rsidRDefault="004F0598" w:rsidP="004F0598">
      <w:pPr>
        <w:rPr>
          <w:rFonts w:ascii="Times New Roman" w:eastAsia="Times New Roman" w:hAnsi="Times New Roman" w:cs="Times New Roman"/>
        </w:rPr>
      </w:pPr>
      <w:r w:rsidRPr="00C44C73">
        <w:rPr>
          <w:rFonts w:ascii="Calibri" w:eastAsia="Times New Roman" w:hAnsi="Calibri" w:cs="Calibri"/>
          <w:color w:val="000000"/>
          <w:sz w:val="22"/>
          <w:szCs w:val="22"/>
        </w:rPr>
        <w:t xml:space="preserve">Journal of Zoo and Wildlife Medicine, 52(3): </w:t>
      </w:r>
      <w:r>
        <w:rPr>
          <w:rFonts w:ascii="Calibri" w:eastAsia="Times New Roman" w:hAnsi="Calibri" w:cs="Calibri"/>
          <w:color w:val="000000"/>
          <w:sz w:val="22"/>
          <w:szCs w:val="22"/>
        </w:rPr>
        <w:t>880-885</w:t>
      </w:r>
      <w:r w:rsidRPr="00C44C73">
        <w:rPr>
          <w:rFonts w:ascii="Calibri" w:eastAsia="Times New Roman" w:hAnsi="Calibri" w:cs="Calibri"/>
          <w:color w:val="000000"/>
          <w:sz w:val="22"/>
          <w:szCs w:val="22"/>
        </w:rPr>
        <w:t>, 2021</w:t>
      </w:r>
    </w:p>
    <w:p w14:paraId="2A78A39F" w14:textId="77777777" w:rsidR="004F0598" w:rsidRDefault="004F0598" w:rsidP="004F0598">
      <w:pPr>
        <w:rPr>
          <w:rFonts w:ascii="Calibri" w:eastAsia="Times New Roman" w:hAnsi="Calibri" w:cs="Calibri"/>
          <w:b/>
          <w:bCs/>
          <w:color w:val="000000"/>
          <w:sz w:val="22"/>
          <w:szCs w:val="22"/>
        </w:rPr>
      </w:pPr>
      <w:r w:rsidRPr="00F35BA4">
        <w:rPr>
          <w:rFonts w:ascii="Calibri" w:eastAsia="Times New Roman" w:hAnsi="Calibri" w:cs="Calibri"/>
          <w:b/>
          <w:bCs/>
          <w:color w:val="000000"/>
          <w:sz w:val="22"/>
          <w:szCs w:val="22"/>
        </w:rPr>
        <w:t>EVALUATION OF THE PHARMACOKINETIC BEHAVIOR OF TULATHROMYCIN (DRAXXIN) IN FLORIDA MANATEES (</w:t>
      </w:r>
      <w:r w:rsidRPr="00F35BA4">
        <w:rPr>
          <w:rFonts w:ascii="Calibri" w:eastAsia="Times New Roman" w:hAnsi="Calibri" w:cs="Calibri"/>
          <w:b/>
          <w:bCs/>
          <w:i/>
          <w:iCs/>
          <w:color w:val="000000"/>
          <w:sz w:val="22"/>
          <w:szCs w:val="22"/>
        </w:rPr>
        <w:t>TRICHECHUS MANATUS LATIROSTRIS</w:t>
      </w:r>
      <w:r w:rsidRPr="00F35BA4">
        <w:rPr>
          <w:rFonts w:ascii="Calibri" w:eastAsia="Times New Roman" w:hAnsi="Calibri" w:cs="Calibri"/>
          <w:b/>
          <w:bCs/>
          <w:color w:val="000000"/>
          <w:sz w:val="22"/>
          <w:szCs w:val="22"/>
        </w:rPr>
        <w:t>) UNDERGOING MEDICAL REHABILITATION</w:t>
      </w:r>
    </w:p>
    <w:p w14:paraId="7129E738" w14:textId="77777777" w:rsidR="004F0598" w:rsidRPr="00F35BA4" w:rsidRDefault="004F0598" w:rsidP="004F0598">
      <w:pPr>
        <w:rPr>
          <w:rFonts w:ascii="Calibri" w:eastAsia="Times New Roman" w:hAnsi="Calibri" w:cs="Calibri"/>
          <w:color w:val="000000"/>
          <w:sz w:val="22"/>
          <w:szCs w:val="22"/>
          <w:bdr w:val="none" w:sz="0" w:space="0" w:color="auto" w:frame="1"/>
        </w:rPr>
      </w:pPr>
      <w:r w:rsidRPr="00F35BA4">
        <w:rPr>
          <w:rFonts w:ascii="Calibri" w:eastAsia="Times New Roman" w:hAnsi="Calibri" w:cs="Calibri"/>
          <w:color w:val="000000"/>
          <w:sz w:val="22"/>
          <w:szCs w:val="22"/>
          <w:bdr w:val="none" w:sz="0" w:space="0" w:color="auto" w:frame="1"/>
        </w:rPr>
        <w:t xml:space="preserve">Lauren N. Smith, Claire </w:t>
      </w:r>
      <w:proofErr w:type="spellStart"/>
      <w:r w:rsidRPr="00F35BA4">
        <w:rPr>
          <w:rFonts w:ascii="Calibri" w:eastAsia="Times New Roman" w:hAnsi="Calibri" w:cs="Calibri"/>
          <w:color w:val="000000"/>
          <w:sz w:val="22"/>
          <w:szCs w:val="22"/>
          <w:bdr w:val="none" w:sz="0" w:space="0" w:color="auto" w:frame="1"/>
        </w:rPr>
        <w:t>Bublitz</w:t>
      </w:r>
      <w:proofErr w:type="spellEnd"/>
      <w:r w:rsidRPr="00F35BA4">
        <w:rPr>
          <w:rFonts w:ascii="Calibri" w:eastAsia="Times New Roman" w:hAnsi="Calibri" w:cs="Calibri"/>
          <w:color w:val="000000"/>
          <w:sz w:val="22"/>
          <w:szCs w:val="22"/>
          <w:bdr w:val="none" w:sz="0" w:space="0" w:color="auto" w:frame="1"/>
        </w:rPr>
        <w:t xml:space="preserve">, Emma Nixon, James </w:t>
      </w:r>
      <w:proofErr w:type="spellStart"/>
      <w:r w:rsidRPr="00F35BA4">
        <w:rPr>
          <w:rFonts w:ascii="Calibri" w:eastAsia="Times New Roman" w:hAnsi="Calibri" w:cs="Calibri"/>
          <w:color w:val="000000"/>
          <w:sz w:val="22"/>
          <w:szCs w:val="22"/>
          <w:bdr w:val="none" w:sz="0" w:space="0" w:color="auto" w:frame="1"/>
        </w:rPr>
        <w:t>Yeatts</w:t>
      </w:r>
      <w:proofErr w:type="spellEnd"/>
      <w:r w:rsidRPr="00F35BA4">
        <w:rPr>
          <w:rFonts w:ascii="Calibri" w:eastAsia="Times New Roman" w:hAnsi="Calibri" w:cs="Calibri"/>
          <w:color w:val="000000"/>
          <w:sz w:val="22"/>
          <w:szCs w:val="22"/>
          <w:bdr w:val="none" w:sz="0" w:space="0" w:color="auto" w:frame="1"/>
        </w:rPr>
        <w:t>, Ray L. Ball, Ronald E. Baynes</w:t>
      </w:r>
    </w:p>
    <w:p w14:paraId="6F985517" w14:textId="77777777" w:rsidR="004F0598" w:rsidRDefault="004F0598" w:rsidP="004F0598">
      <w:pPr>
        <w:rPr>
          <w:rFonts w:ascii="Calibri" w:eastAsia="Times New Roman" w:hAnsi="Calibri" w:cs="Calibri"/>
          <w:color w:val="000000"/>
          <w:sz w:val="22"/>
          <w:szCs w:val="22"/>
          <w:bdr w:val="none" w:sz="0" w:space="0" w:color="auto" w:frame="1"/>
        </w:rPr>
      </w:pPr>
      <w:r w:rsidRPr="00C44C73">
        <w:rPr>
          <w:rFonts w:ascii="Calibri" w:eastAsia="Times New Roman" w:hAnsi="Calibri" w:cs="Calibri"/>
          <w:color w:val="000000"/>
          <w:sz w:val="22"/>
          <w:szCs w:val="22"/>
          <w:bdr w:val="none" w:sz="0" w:space="0" w:color="auto" w:frame="1"/>
        </w:rPr>
        <w:fldChar w:fldCharType="begin"/>
      </w:r>
      <w:r w:rsidRPr="00C44C73">
        <w:rPr>
          <w:rFonts w:ascii="Calibri" w:eastAsia="Times New Roman" w:hAnsi="Calibri" w:cs="Calibri"/>
          <w:color w:val="000000"/>
          <w:sz w:val="22"/>
          <w:szCs w:val="22"/>
          <w:bdr w:val="none" w:sz="0" w:space="0" w:color="auto" w:frame="1"/>
        </w:rPr>
        <w:instrText xml:space="preserve"> INCLUDEPICTURE "https://lh7-rt.googleusercontent.com/docsz/AD_4nXcnK-EamDH4UyNHNtEtMdQiKP0CkAEv70J7n0B6ErAKaRfMIGGnytUOL5WiHYJCO0cc5mLCnQcM4cy4AVn6TVJ-ZuZ84tpF9Zt0osy67hptzdoe_DvgZX3644vI1yqwki0vH8CYu0LiGmhEc8dzi56XjpU?key=60u5FsWPlp3WsQ5neaPJHg" \* MERGEFORMATINET </w:instrText>
      </w:r>
      <w:r w:rsidRPr="00C44C73">
        <w:rPr>
          <w:rFonts w:ascii="Calibri" w:eastAsia="Times New Roman" w:hAnsi="Calibri" w:cs="Calibri"/>
          <w:color w:val="000000"/>
          <w:sz w:val="22"/>
          <w:szCs w:val="22"/>
          <w:bdr w:val="none" w:sz="0" w:space="0" w:color="auto" w:frame="1"/>
        </w:rPr>
        <w:fldChar w:fldCharType="separate"/>
      </w:r>
      <w:r w:rsidRPr="00C44C73">
        <w:rPr>
          <w:rFonts w:ascii="Calibri" w:eastAsia="Times New Roman" w:hAnsi="Calibri" w:cs="Calibri"/>
          <w:noProof/>
          <w:color w:val="000000"/>
          <w:sz w:val="22"/>
          <w:szCs w:val="22"/>
          <w:bdr w:val="none" w:sz="0" w:space="0" w:color="auto" w:frame="1"/>
        </w:rPr>
        <w:drawing>
          <wp:inline distT="0" distB="0" distL="0" distR="0" wp14:anchorId="3373F80C" wp14:editId="02FFAF84">
            <wp:extent cx="3061970" cy="1715770"/>
            <wp:effectExtent l="0" t="0" r="0" b="0"/>
            <wp:docPr id="489744432" name="Picture 7" descr="A close-up of a manat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555593" name="Picture 3" descr="A close-up of a manatee&#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1970" cy="1715770"/>
                    </a:xfrm>
                    <a:prstGeom prst="rect">
                      <a:avLst/>
                    </a:prstGeom>
                    <a:noFill/>
                    <a:ln>
                      <a:noFill/>
                    </a:ln>
                  </pic:spPr>
                </pic:pic>
              </a:graphicData>
            </a:graphic>
          </wp:inline>
        </w:drawing>
      </w:r>
      <w:r w:rsidRPr="00C44C73">
        <w:rPr>
          <w:rFonts w:ascii="Calibri" w:eastAsia="Times New Roman" w:hAnsi="Calibri" w:cs="Calibri"/>
          <w:color w:val="000000"/>
          <w:sz w:val="22"/>
          <w:szCs w:val="22"/>
          <w:bdr w:val="none" w:sz="0" w:space="0" w:color="auto" w:frame="1"/>
        </w:rPr>
        <w:fldChar w:fldCharType="end"/>
      </w:r>
    </w:p>
    <w:p w14:paraId="42053609" w14:textId="77777777" w:rsidR="004F0598" w:rsidRDefault="004F0598" w:rsidP="004F0598">
      <w:pPr>
        <w:rPr>
          <w:rFonts w:ascii="Calibri" w:eastAsia="Times New Roman" w:hAnsi="Calibri" w:cs="Calibri"/>
          <w:b/>
          <w:bCs/>
          <w:color w:val="000000"/>
          <w:sz w:val="22"/>
          <w:szCs w:val="22"/>
          <w:bdr w:val="none" w:sz="0" w:space="0" w:color="auto" w:frame="1"/>
        </w:rPr>
      </w:pPr>
      <w:r w:rsidRPr="00F35BA4">
        <w:rPr>
          <w:rFonts w:ascii="Calibri" w:eastAsia="Times New Roman" w:hAnsi="Calibri" w:cs="Calibri"/>
          <w:b/>
          <w:bCs/>
          <w:color w:val="000000"/>
          <w:sz w:val="22"/>
          <w:szCs w:val="22"/>
          <w:bdr w:val="none" w:sz="0" w:space="0" w:color="auto" w:frame="1"/>
        </w:rPr>
        <w:t>Abstract:</w:t>
      </w:r>
    </w:p>
    <w:p w14:paraId="5CF6D9A6" w14:textId="77777777" w:rsidR="004F0598" w:rsidRPr="00F35BA4" w:rsidRDefault="004F0598" w:rsidP="004F0598">
      <w:pPr>
        <w:rPr>
          <w:rFonts w:ascii="Calibri" w:eastAsia="Times New Roman" w:hAnsi="Calibri" w:cs="Calibri"/>
          <w:color w:val="000000"/>
          <w:sz w:val="22"/>
          <w:szCs w:val="22"/>
          <w:bdr w:val="none" w:sz="0" w:space="0" w:color="auto" w:frame="1"/>
        </w:rPr>
      </w:pPr>
      <w:r w:rsidRPr="00F35BA4">
        <w:rPr>
          <w:rFonts w:ascii="Calibri" w:eastAsia="Times New Roman" w:hAnsi="Calibri" w:cs="Calibri"/>
          <w:color w:val="000000"/>
          <w:sz w:val="22"/>
          <w:szCs w:val="22"/>
          <w:bdr w:val="none" w:sz="0" w:space="0" w:color="auto" w:frame="1"/>
        </w:rPr>
        <w:t>Florida manatees (</w:t>
      </w:r>
      <w:r w:rsidRPr="00F35BA4">
        <w:rPr>
          <w:rFonts w:ascii="Calibri" w:eastAsia="Times New Roman" w:hAnsi="Calibri" w:cs="Calibri"/>
          <w:i/>
          <w:iCs/>
          <w:color w:val="000000"/>
          <w:sz w:val="22"/>
          <w:szCs w:val="22"/>
          <w:bdr w:val="none" w:sz="0" w:space="0" w:color="auto" w:frame="1"/>
        </w:rPr>
        <w:t xml:space="preserve">Trichechus manatus </w:t>
      </w:r>
      <w:proofErr w:type="spellStart"/>
      <w:r w:rsidRPr="00F35BA4">
        <w:rPr>
          <w:rFonts w:ascii="Calibri" w:eastAsia="Times New Roman" w:hAnsi="Calibri" w:cs="Calibri"/>
          <w:i/>
          <w:iCs/>
          <w:color w:val="000000"/>
          <w:sz w:val="22"/>
          <w:szCs w:val="22"/>
          <w:bdr w:val="none" w:sz="0" w:space="0" w:color="auto" w:frame="1"/>
        </w:rPr>
        <w:t>latirostris</w:t>
      </w:r>
      <w:proofErr w:type="spellEnd"/>
      <w:r w:rsidRPr="00F35BA4">
        <w:rPr>
          <w:rFonts w:ascii="Calibri" w:eastAsia="Times New Roman" w:hAnsi="Calibri" w:cs="Calibri"/>
          <w:color w:val="000000"/>
          <w:sz w:val="22"/>
          <w:szCs w:val="22"/>
          <w:bdr w:val="none" w:sz="0" w:space="0" w:color="auto" w:frame="1"/>
        </w:rPr>
        <w:t xml:space="preserve">) frequently present to rehabilitation care facilities for various conditions, including </w:t>
      </w:r>
      <w:r w:rsidRPr="003D0264">
        <w:rPr>
          <w:rFonts w:ascii="Calibri" w:eastAsia="Times New Roman" w:hAnsi="Calibri" w:cs="Calibri"/>
          <w:b/>
          <w:bCs/>
          <w:color w:val="000000"/>
          <w:sz w:val="22"/>
          <w:szCs w:val="22"/>
          <w:bdr w:val="none" w:sz="0" w:space="0" w:color="auto" w:frame="1"/>
        </w:rPr>
        <w:t xml:space="preserve">boat strike trauma, cold stress syndrome, and </w:t>
      </w:r>
      <w:proofErr w:type="spellStart"/>
      <w:r w:rsidRPr="003D0264">
        <w:rPr>
          <w:rFonts w:ascii="Calibri" w:eastAsia="Times New Roman" w:hAnsi="Calibri" w:cs="Calibri"/>
          <w:b/>
          <w:bCs/>
          <w:color w:val="000000"/>
          <w:sz w:val="22"/>
          <w:szCs w:val="22"/>
          <w:bdr w:val="none" w:sz="0" w:space="0" w:color="auto" w:frame="1"/>
        </w:rPr>
        <w:t>brevetoxicosis</w:t>
      </w:r>
      <w:proofErr w:type="spellEnd"/>
      <w:r w:rsidRPr="00F35BA4">
        <w:rPr>
          <w:rFonts w:ascii="Calibri" w:eastAsia="Times New Roman" w:hAnsi="Calibri" w:cs="Calibri"/>
          <w:color w:val="000000"/>
          <w:sz w:val="22"/>
          <w:szCs w:val="22"/>
          <w:bdr w:val="none" w:sz="0" w:space="0" w:color="auto" w:frame="1"/>
        </w:rPr>
        <w:t xml:space="preserve">. Throughout the course of treatment, </w:t>
      </w:r>
      <w:r w:rsidRPr="003D0264">
        <w:rPr>
          <w:rFonts w:ascii="Calibri" w:eastAsia="Times New Roman" w:hAnsi="Calibri" w:cs="Calibri"/>
          <w:b/>
          <w:bCs/>
          <w:color w:val="000000"/>
          <w:sz w:val="22"/>
          <w:szCs w:val="22"/>
          <w:bdr w:val="none" w:sz="0" w:space="0" w:color="auto" w:frame="1"/>
        </w:rPr>
        <w:t>antimicrobial use to treat respiratory disease</w:t>
      </w:r>
      <w:r w:rsidRPr="00F35BA4">
        <w:rPr>
          <w:rFonts w:ascii="Calibri" w:eastAsia="Times New Roman" w:hAnsi="Calibri" w:cs="Calibri"/>
          <w:color w:val="000000"/>
          <w:sz w:val="22"/>
          <w:szCs w:val="22"/>
          <w:bdr w:val="none" w:sz="0" w:space="0" w:color="auto" w:frame="1"/>
        </w:rPr>
        <w:t xml:space="preserve"> is frequently warranted. To date, clinicians have extrapolated dosages based on established information available in bovine and equine medicine. The routes of administration, efficacy, and treatment intervals are considerations in dealing with critical wild animals. The use of </w:t>
      </w:r>
      <w:r w:rsidRPr="003D0264">
        <w:rPr>
          <w:rFonts w:ascii="Calibri" w:eastAsia="Times New Roman" w:hAnsi="Calibri" w:cs="Calibri"/>
          <w:b/>
          <w:bCs/>
          <w:color w:val="000000"/>
          <w:sz w:val="22"/>
          <w:szCs w:val="22"/>
          <w:bdr w:val="none" w:sz="0" w:space="0" w:color="auto" w:frame="1"/>
        </w:rPr>
        <w:t>tulathromycin</w:t>
      </w:r>
      <w:r w:rsidRPr="00F35BA4">
        <w:rPr>
          <w:rFonts w:ascii="Calibri" w:eastAsia="Times New Roman" w:hAnsi="Calibri" w:cs="Calibri"/>
          <w:color w:val="000000"/>
          <w:sz w:val="22"/>
          <w:szCs w:val="22"/>
          <w:bdr w:val="none" w:sz="0" w:space="0" w:color="auto" w:frame="1"/>
        </w:rPr>
        <w:t xml:space="preserve">, a </w:t>
      </w:r>
      <w:proofErr w:type="spellStart"/>
      <w:r w:rsidRPr="003D0264">
        <w:rPr>
          <w:rFonts w:ascii="Calibri" w:eastAsia="Times New Roman" w:hAnsi="Calibri" w:cs="Calibri"/>
          <w:b/>
          <w:bCs/>
          <w:color w:val="000000"/>
          <w:sz w:val="22"/>
          <w:szCs w:val="22"/>
          <w:bdr w:val="none" w:sz="0" w:space="0" w:color="auto" w:frame="1"/>
        </w:rPr>
        <w:t>triamilide</w:t>
      </w:r>
      <w:proofErr w:type="spellEnd"/>
      <w:r w:rsidRPr="003D0264">
        <w:rPr>
          <w:rFonts w:ascii="Calibri" w:eastAsia="Times New Roman" w:hAnsi="Calibri" w:cs="Calibri"/>
          <w:b/>
          <w:bCs/>
          <w:color w:val="000000"/>
          <w:sz w:val="22"/>
          <w:szCs w:val="22"/>
          <w:bdr w:val="none" w:sz="0" w:space="0" w:color="auto" w:frame="1"/>
        </w:rPr>
        <w:t xml:space="preserve"> antibiotic</w:t>
      </w:r>
      <w:r w:rsidRPr="00F35BA4">
        <w:rPr>
          <w:rFonts w:ascii="Calibri" w:eastAsia="Times New Roman" w:hAnsi="Calibri" w:cs="Calibri"/>
          <w:color w:val="000000"/>
          <w:sz w:val="22"/>
          <w:szCs w:val="22"/>
          <w:bdr w:val="none" w:sz="0" w:space="0" w:color="auto" w:frame="1"/>
        </w:rPr>
        <w:t xml:space="preserve">, has been studied in multiple domestic species of economic importance, including cattle, small ruminants, and swine, and has revealed efficacy against respiratory diseases. Given this information, this antibiotic has also been used in manatees with </w:t>
      </w:r>
      <w:r w:rsidRPr="003D0264">
        <w:rPr>
          <w:rFonts w:ascii="Calibri" w:eastAsia="Times New Roman" w:hAnsi="Calibri" w:cs="Calibri"/>
          <w:b/>
          <w:bCs/>
          <w:color w:val="000000"/>
          <w:sz w:val="22"/>
          <w:szCs w:val="22"/>
          <w:bdr w:val="none" w:sz="0" w:space="0" w:color="auto" w:frame="1"/>
        </w:rPr>
        <w:t>positive clinical outcomes</w:t>
      </w:r>
      <w:r w:rsidRPr="00F35BA4">
        <w:rPr>
          <w:rFonts w:ascii="Calibri" w:eastAsia="Times New Roman" w:hAnsi="Calibri" w:cs="Calibri"/>
          <w:color w:val="000000"/>
          <w:sz w:val="22"/>
          <w:szCs w:val="22"/>
          <w:bdr w:val="none" w:sz="0" w:space="0" w:color="auto" w:frame="1"/>
        </w:rPr>
        <w:t xml:space="preserve">. This study employed </w:t>
      </w:r>
      <w:r w:rsidRPr="003D0264">
        <w:rPr>
          <w:rFonts w:ascii="Calibri" w:eastAsia="Times New Roman" w:hAnsi="Calibri" w:cs="Calibri"/>
          <w:b/>
          <w:bCs/>
          <w:color w:val="000000"/>
          <w:sz w:val="22"/>
          <w:szCs w:val="22"/>
          <w:bdr w:val="none" w:sz="0" w:space="0" w:color="auto" w:frame="1"/>
        </w:rPr>
        <w:t>sparse sampling</w:t>
      </w:r>
      <w:r w:rsidRPr="00F35BA4">
        <w:rPr>
          <w:rFonts w:ascii="Calibri" w:eastAsia="Times New Roman" w:hAnsi="Calibri" w:cs="Calibri"/>
          <w:color w:val="000000"/>
          <w:sz w:val="22"/>
          <w:szCs w:val="22"/>
          <w:bdr w:val="none" w:sz="0" w:space="0" w:color="auto" w:frame="1"/>
        </w:rPr>
        <w:t xml:space="preserve"> and evaluated </w:t>
      </w:r>
      <w:r w:rsidRPr="003D0264">
        <w:rPr>
          <w:rFonts w:ascii="Calibri" w:eastAsia="Times New Roman" w:hAnsi="Calibri" w:cs="Calibri"/>
          <w:b/>
          <w:bCs/>
          <w:color w:val="000000"/>
          <w:sz w:val="22"/>
          <w:szCs w:val="22"/>
          <w:bdr w:val="none" w:sz="0" w:space="0" w:color="auto" w:frame="1"/>
        </w:rPr>
        <w:t>banked plasma samples at various time intervals post–tulathromycin administration obtained during the clinical treatment course of nine animals during their rehabilitation</w:t>
      </w:r>
      <w:r w:rsidRPr="00F35BA4">
        <w:rPr>
          <w:rFonts w:ascii="Calibri" w:eastAsia="Times New Roman" w:hAnsi="Calibri" w:cs="Calibri"/>
          <w:color w:val="000000"/>
          <w:sz w:val="22"/>
          <w:szCs w:val="22"/>
          <w:bdr w:val="none" w:sz="0" w:space="0" w:color="auto" w:frame="1"/>
        </w:rPr>
        <w:t xml:space="preserve">. Preliminary pharmacokinetic analysis following administration of a </w:t>
      </w:r>
      <w:r w:rsidRPr="003D0264">
        <w:rPr>
          <w:rFonts w:ascii="Calibri" w:eastAsia="Times New Roman" w:hAnsi="Calibri" w:cs="Calibri"/>
          <w:b/>
          <w:bCs/>
          <w:color w:val="000000"/>
          <w:sz w:val="22"/>
          <w:szCs w:val="22"/>
          <w:bdr w:val="none" w:sz="0" w:space="0" w:color="auto" w:frame="1"/>
        </w:rPr>
        <w:t>single dose estimated a half-life of 33.75</w:t>
      </w:r>
      <w:r w:rsidRPr="00F35BA4">
        <w:rPr>
          <w:rFonts w:ascii="Calibri" w:eastAsia="Times New Roman" w:hAnsi="Calibri" w:cs="Calibri"/>
          <w:color w:val="000000"/>
          <w:sz w:val="22"/>
          <w:szCs w:val="22"/>
          <w:bdr w:val="none" w:sz="0" w:space="0" w:color="auto" w:frame="1"/>
        </w:rPr>
        <w:t xml:space="preserve"> h and volume of distribution per fraction absorbed (</w:t>
      </w:r>
      <w:proofErr w:type="spellStart"/>
      <w:r w:rsidRPr="00F35BA4">
        <w:rPr>
          <w:rFonts w:ascii="Calibri" w:eastAsia="Times New Roman" w:hAnsi="Calibri" w:cs="Calibri"/>
          <w:color w:val="000000"/>
          <w:sz w:val="22"/>
          <w:szCs w:val="22"/>
          <w:bdr w:val="none" w:sz="0" w:space="0" w:color="auto" w:frame="1"/>
        </w:rPr>
        <w:t>Vz</w:t>
      </w:r>
      <w:proofErr w:type="spellEnd"/>
      <w:r w:rsidRPr="00F35BA4">
        <w:rPr>
          <w:rFonts w:ascii="Calibri" w:eastAsia="Times New Roman" w:hAnsi="Calibri" w:cs="Calibri"/>
          <w:color w:val="000000"/>
          <w:sz w:val="22"/>
          <w:szCs w:val="22"/>
          <w:bdr w:val="none" w:sz="0" w:space="0" w:color="auto" w:frame="1"/>
        </w:rPr>
        <w:t>/F = 4.29 L/kg). The pharmacokinetic behavior of tulathromycin in Florida manatees can be used to optimize dosage regimens in this species.</w:t>
      </w:r>
    </w:p>
    <w:p w14:paraId="0508A21B" w14:textId="77777777" w:rsidR="004F0598" w:rsidRPr="00F35BA4" w:rsidRDefault="004F0598" w:rsidP="004F0598">
      <w:pPr>
        <w:rPr>
          <w:rFonts w:ascii="Calibri" w:eastAsia="Times New Roman" w:hAnsi="Calibri" w:cs="Calibri"/>
          <w:b/>
          <w:bCs/>
          <w:color w:val="000000"/>
          <w:sz w:val="22"/>
          <w:szCs w:val="22"/>
          <w:bdr w:val="none" w:sz="0" w:space="0" w:color="auto" w:frame="1"/>
        </w:rPr>
      </w:pPr>
    </w:p>
    <w:p w14:paraId="373F8F65" w14:textId="77777777" w:rsidR="004F0598" w:rsidRDefault="004F0598" w:rsidP="004F0598">
      <w:pPr>
        <w:rPr>
          <w:rFonts w:ascii="Calibri" w:eastAsia="Times New Roman" w:hAnsi="Calibri" w:cs="Calibri"/>
          <w:b/>
          <w:bCs/>
          <w:color w:val="000000"/>
          <w:sz w:val="22"/>
          <w:szCs w:val="22"/>
          <w:bdr w:val="none" w:sz="0" w:space="0" w:color="auto" w:frame="1"/>
        </w:rPr>
      </w:pPr>
      <w:r w:rsidRPr="00F35BA4">
        <w:rPr>
          <w:rFonts w:ascii="Calibri" w:eastAsia="Times New Roman" w:hAnsi="Calibri" w:cs="Calibri"/>
          <w:b/>
          <w:bCs/>
          <w:color w:val="000000"/>
          <w:sz w:val="22"/>
          <w:szCs w:val="22"/>
          <w:bdr w:val="none" w:sz="0" w:space="0" w:color="auto" w:frame="1"/>
        </w:rPr>
        <w:t>Key Points:</w:t>
      </w:r>
    </w:p>
    <w:p w14:paraId="1C6CE844" w14:textId="77777777" w:rsidR="004F0598" w:rsidRPr="003D0264" w:rsidRDefault="004F0598" w:rsidP="004F0598">
      <w:pPr>
        <w:pStyle w:val="ListParagraph"/>
        <w:numPr>
          <w:ilvl w:val="0"/>
          <w:numId w:val="8"/>
        </w:numPr>
        <w:rPr>
          <w:rFonts w:ascii="Calibri" w:eastAsia="Times New Roman" w:hAnsi="Calibri" w:cs="Calibri"/>
          <w:b/>
          <w:bCs/>
          <w:color w:val="000000"/>
          <w:sz w:val="22"/>
          <w:szCs w:val="22"/>
          <w:bdr w:val="none" w:sz="0" w:space="0" w:color="auto" w:frame="1"/>
        </w:rPr>
      </w:pPr>
      <w:r>
        <w:rPr>
          <w:rFonts w:ascii="Calibri" w:eastAsia="Times New Roman" w:hAnsi="Calibri" w:cs="Calibri"/>
          <w:color w:val="000000"/>
          <w:sz w:val="22"/>
          <w:szCs w:val="22"/>
          <w:bdr w:val="none" w:sz="0" w:space="0" w:color="auto" w:frame="1"/>
        </w:rPr>
        <w:t xml:space="preserve">Wild Florida manatees </w:t>
      </w:r>
      <w:r w:rsidRPr="003D0264">
        <w:rPr>
          <w:rFonts w:ascii="Calibri" w:eastAsia="Times New Roman" w:hAnsi="Calibri" w:cs="Calibri"/>
          <w:color w:val="000000"/>
          <w:sz w:val="22"/>
          <w:szCs w:val="22"/>
          <w:bdr w:val="none" w:sz="0" w:space="0" w:color="auto" w:frame="1"/>
        </w:rPr>
        <w:t xml:space="preserve">routinely require rescue and rehabilitation for water-craft injury, cold stress syndrome, </w:t>
      </w:r>
      <w:proofErr w:type="spellStart"/>
      <w:r w:rsidRPr="003D0264">
        <w:rPr>
          <w:rFonts w:ascii="Calibri" w:eastAsia="Times New Roman" w:hAnsi="Calibri" w:cs="Calibri"/>
          <w:color w:val="000000"/>
          <w:sz w:val="22"/>
          <w:szCs w:val="22"/>
          <w:bdr w:val="none" w:sz="0" w:space="0" w:color="auto" w:frame="1"/>
        </w:rPr>
        <w:t>brevetoxicosis</w:t>
      </w:r>
      <w:proofErr w:type="spellEnd"/>
      <w:r w:rsidRPr="003D0264">
        <w:rPr>
          <w:rFonts w:ascii="Calibri" w:eastAsia="Times New Roman" w:hAnsi="Calibri" w:cs="Calibri"/>
          <w:color w:val="000000"/>
          <w:sz w:val="22"/>
          <w:szCs w:val="22"/>
          <w:bdr w:val="none" w:sz="0" w:space="0" w:color="auto" w:frame="1"/>
        </w:rPr>
        <w:t>, and entanglements</w:t>
      </w:r>
      <w:r>
        <w:rPr>
          <w:rFonts w:ascii="Calibri" w:eastAsia="Times New Roman" w:hAnsi="Calibri" w:cs="Calibri"/>
          <w:color w:val="000000"/>
          <w:sz w:val="22"/>
          <w:szCs w:val="22"/>
          <w:bdr w:val="none" w:sz="0" w:space="0" w:color="auto" w:frame="1"/>
        </w:rPr>
        <w:t>. O</w:t>
      </w:r>
      <w:r w:rsidRPr="003D0264">
        <w:rPr>
          <w:rFonts w:ascii="Calibri" w:eastAsia="Times New Roman" w:hAnsi="Calibri" w:cs="Calibri"/>
          <w:color w:val="000000"/>
          <w:sz w:val="22"/>
          <w:szCs w:val="22"/>
          <w:bdr w:val="none" w:sz="0" w:space="0" w:color="auto" w:frame="1"/>
        </w:rPr>
        <w:t xml:space="preserve">ne of the major concurrent diseases associated with </w:t>
      </w:r>
      <w:proofErr w:type="gramStart"/>
      <w:r w:rsidRPr="003D0264">
        <w:rPr>
          <w:rFonts w:ascii="Calibri" w:eastAsia="Times New Roman" w:hAnsi="Calibri" w:cs="Calibri"/>
          <w:color w:val="000000"/>
          <w:sz w:val="22"/>
          <w:szCs w:val="22"/>
          <w:bdr w:val="none" w:sz="0" w:space="0" w:color="auto" w:frame="1"/>
        </w:rPr>
        <w:t>all of</w:t>
      </w:r>
      <w:proofErr w:type="gramEnd"/>
      <w:r w:rsidRPr="003D0264">
        <w:rPr>
          <w:rFonts w:ascii="Calibri" w:eastAsia="Times New Roman" w:hAnsi="Calibri" w:cs="Calibri"/>
          <w:color w:val="000000"/>
          <w:sz w:val="22"/>
          <w:szCs w:val="22"/>
          <w:bdr w:val="none" w:sz="0" w:space="0" w:color="auto" w:frame="1"/>
        </w:rPr>
        <w:t xml:space="preserve"> these presentations is respiratory infection from pulmonary trauma, immune suppression, or aspiration.</w:t>
      </w:r>
    </w:p>
    <w:p w14:paraId="191732A0" w14:textId="77777777" w:rsidR="004F0598" w:rsidRPr="003D0264" w:rsidRDefault="004F0598" w:rsidP="004F0598">
      <w:pPr>
        <w:pStyle w:val="ListParagraph"/>
        <w:numPr>
          <w:ilvl w:val="0"/>
          <w:numId w:val="8"/>
        </w:numPr>
        <w:rPr>
          <w:rFonts w:ascii="Calibri" w:eastAsia="Times New Roman" w:hAnsi="Calibri" w:cs="Calibri"/>
          <w:b/>
          <w:bCs/>
          <w:color w:val="000000"/>
          <w:sz w:val="22"/>
          <w:szCs w:val="22"/>
          <w:bdr w:val="none" w:sz="0" w:space="0" w:color="auto" w:frame="1"/>
        </w:rPr>
      </w:pPr>
      <w:r>
        <w:rPr>
          <w:rFonts w:ascii="Calibri" w:eastAsia="Times New Roman" w:hAnsi="Calibri" w:cs="Calibri"/>
          <w:color w:val="000000"/>
          <w:sz w:val="22"/>
          <w:szCs w:val="22"/>
          <w:bdr w:val="none" w:sz="0" w:space="0" w:color="auto" w:frame="1"/>
        </w:rPr>
        <w:t xml:space="preserve">Tulathromycin: </w:t>
      </w:r>
      <w:r w:rsidRPr="003D0264">
        <w:rPr>
          <w:rFonts w:ascii="Calibri" w:eastAsia="Times New Roman" w:hAnsi="Calibri" w:cs="Calibri"/>
          <w:color w:val="000000"/>
          <w:sz w:val="22"/>
          <w:szCs w:val="22"/>
          <w:bdr w:val="none" w:sz="0" w:space="0" w:color="auto" w:frame="1"/>
        </w:rPr>
        <w:t>Gram-negative spectrum, relatively long half-life, and affinity for pulmonary tissue</w:t>
      </w:r>
    </w:p>
    <w:p w14:paraId="29FDE743" w14:textId="77777777" w:rsidR="004F0598" w:rsidRPr="003D0264" w:rsidRDefault="004F0598" w:rsidP="004F0598">
      <w:pPr>
        <w:pStyle w:val="ListParagraph"/>
        <w:numPr>
          <w:ilvl w:val="1"/>
          <w:numId w:val="8"/>
        </w:numPr>
        <w:rPr>
          <w:rFonts w:ascii="Calibri" w:eastAsia="Times New Roman" w:hAnsi="Calibri" w:cs="Calibri"/>
          <w:b/>
          <w:bCs/>
          <w:color w:val="000000"/>
          <w:sz w:val="22"/>
          <w:szCs w:val="22"/>
          <w:bdr w:val="none" w:sz="0" w:space="0" w:color="auto" w:frame="1"/>
        </w:rPr>
      </w:pPr>
      <w:proofErr w:type="spellStart"/>
      <w:r>
        <w:rPr>
          <w:rFonts w:ascii="Calibri" w:eastAsia="Times New Roman" w:hAnsi="Calibri" w:cs="Calibri"/>
          <w:color w:val="000000"/>
          <w:sz w:val="22"/>
          <w:szCs w:val="22"/>
          <w:bdr w:val="none" w:sz="0" w:space="0" w:color="auto" w:frame="1"/>
        </w:rPr>
        <w:t>Triamilide</w:t>
      </w:r>
      <w:proofErr w:type="spellEnd"/>
      <w:r>
        <w:rPr>
          <w:rFonts w:ascii="Calibri" w:eastAsia="Times New Roman" w:hAnsi="Calibri" w:cs="Calibri"/>
          <w:color w:val="000000"/>
          <w:sz w:val="22"/>
          <w:szCs w:val="22"/>
          <w:bdr w:val="none" w:sz="0" w:space="0" w:color="auto" w:frame="1"/>
        </w:rPr>
        <w:t xml:space="preserve"> antibiotic (macrolide subclass)</w:t>
      </w:r>
    </w:p>
    <w:p w14:paraId="0C9DC597" w14:textId="77777777" w:rsidR="004F0598" w:rsidRPr="003D0264" w:rsidRDefault="004F0598" w:rsidP="004F0598">
      <w:pPr>
        <w:pStyle w:val="ListParagraph"/>
        <w:numPr>
          <w:ilvl w:val="1"/>
          <w:numId w:val="8"/>
        </w:numPr>
        <w:rPr>
          <w:rFonts w:ascii="Calibri" w:eastAsia="Times New Roman" w:hAnsi="Calibri" w:cs="Calibri"/>
          <w:b/>
          <w:bCs/>
          <w:color w:val="000000"/>
          <w:sz w:val="22"/>
          <w:szCs w:val="22"/>
          <w:bdr w:val="none" w:sz="0" w:space="0" w:color="auto" w:frame="1"/>
        </w:rPr>
      </w:pPr>
      <w:r>
        <w:rPr>
          <w:rFonts w:ascii="Calibri" w:eastAsia="Times New Roman" w:hAnsi="Calibri" w:cs="Calibri"/>
          <w:color w:val="000000"/>
          <w:sz w:val="22"/>
          <w:szCs w:val="22"/>
          <w:bdr w:val="none" w:sz="0" w:space="0" w:color="auto" w:frame="1"/>
        </w:rPr>
        <w:lastRenderedPageBreak/>
        <w:t>Binds to 50s subunit of the ribosome, inhibits cell division and leads to cell death</w:t>
      </w:r>
    </w:p>
    <w:p w14:paraId="1BB1F9F0" w14:textId="77777777" w:rsidR="004F0598" w:rsidRPr="00E70A49" w:rsidRDefault="004F0598" w:rsidP="004F0598">
      <w:pPr>
        <w:pStyle w:val="ListParagraph"/>
        <w:numPr>
          <w:ilvl w:val="1"/>
          <w:numId w:val="8"/>
        </w:numPr>
        <w:rPr>
          <w:rFonts w:ascii="Calibri" w:eastAsia="Times New Roman" w:hAnsi="Calibri" w:cs="Calibri"/>
          <w:b/>
          <w:bCs/>
          <w:color w:val="000000"/>
          <w:sz w:val="22"/>
          <w:szCs w:val="22"/>
          <w:bdr w:val="none" w:sz="0" w:space="0" w:color="auto" w:frame="1"/>
        </w:rPr>
      </w:pPr>
      <w:r>
        <w:rPr>
          <w:rFonts w:ascii="Calibri" w:eastAsia="Times New Roman" w:hAnsi="Calibri" w:cs="Calibri"/>
          <w:color w:val="000000"/>
          <w:sz w:val="22"/>
          <w:szCs w:val="22"/>
          <w:bdr w:val="none" w:sz="0" w:space="0" w:color="auto" w:frame="1"/>
        </w:rPr>
        <w:t xml:space="preserve">Mixed bacteriostatic and </w:t>
      </w:r>
      <w:proofErr w:type="spellStart"/>
      <w:r>
        <w:rPr>
          <w:rFonts w:ascii="Calibri" w:eastAsia="Times New Roman" w:hAnsi="Calibri" w:cs="Calibri"/>
          <w:color w:val="000000"/>
          <w:sz w:val="22"/>
          <w:szCs w:val="22"/>
          <w:bdr w:val="none" w:sz="0" w:space="0" w:color="auto" w:frame="1"/>
        </w:rPr>
        <w:t>bacteriocidal</w:t>
      </w:r>
      <w:proofErr w:type="spellEnd"/>
      <w:r>
        <w:rPr>
          <w:rFonts w:ascii="Calibri" w:eastAsia="Times New Roman" w:hAnsi="Calibri" w:cs="Calibri"/>
          <w:color w:val="000000"/>
          <w:sz w:val="22"/>
          <w:szCs w:val="22"/>
          <w:bdr w:val="none" w:sz="0" w:space="0" w:color="auto" w:frame="1"/>
        </w:rPr>
        <w:t xml:space="preserve"> properties</w:t>
      </w:r>
    </w:p>
    <w:p w14:paraId="15CE3BFD" w14:textId="77777777" w:rsidR="004F0598" w:rsidRDefault="004F0598" w:rsidP="004F0598">
      <w:pPr>
        <w:pStyle w:val="ListParagraph"/>
        <w:numPr>
          <w:ilvl w:val="0"/>
          <w:numId w:val="8"/>
        </w:numPr>
        <w:rPr>
          <w:rFonts w:ascii="Calibri" w:eastAsia="Times New Roman" w:hAnsi="Calibri" w:cs="Calibri"/>
          <w:color w:val="000000"/>
          <w:sz w:val="22"/>
          <w:szCs w:val="22"/>
          <w:bdr w:val="none" w:sz="0" w:space="0" w:color="auto" w:frame="1"/>
        </w:rPr>
      </w:pPr>
      <w:r w:rsidRPr="00E70A49">
        <w:rPr>
          <w:rFonts w:ascii="Calibri" w:eastAsia="Times New Roman" w:hAnsi="Calibri" w:cs="Calibri"/>
          <w:color w:val="000000"/>
          <w:sz w:val="22"/>
          <w:szCs w:val="22"/>
          <w:bdr w:val="none" w:sz="0" w:space="0" w:color="auto" w:frame="1"/>
        </w:rPr>
        <w:t>The current tulathromycin protocol routinely used at manatee critical care rehabilitation facilities is 2.5 mg/kg subcutaneously once every 7 d.</w:t>
      </w:r>
    </w:p>
    <w:p w14:paraId="23E01D8C" w14:textId="77777777" w:rsidR="004F0598" w:rsidRDefault="004F0598" w:rsidP="004F0598">
      <w:pPr>
        <w:pStyle w:val="ListParagraph"/>
        <w:numPr>
          <w:ilvl w:val="0"/>
          <w:numId w:val="8"/>
        </w:numPr>
        <w:rPr>
          <w:rFonts w:ascii="Calibri" w:eastAsia="Times New Roman" w:hAnsi="Calibri" w:cs="Calibri"/>
          <w:color w:val="000000"/>
          <w:sz w:val="22"/>
          <w:szCs w:val="22"/>
          <w:bdr w:val="none" w:sz="0" w:space="0" w:color="auto" w:frame="1"/>
        </w:rPr>
      </w:pPr>
      <w:r>
        <w:rPr>
          <w:rFonts w:ascii="Calibri" w:eastAsia="Times New Roman" w:hAnsi="Calibri" w:cs="Calibri"/>
          <w:color w:val="000000"/>
          <w:sz w:val="22"/>
          <w:szCs w:val="22"/>
          <w:bdr w:val="none" w:sz="0" w:space="0" w:color="auto" w:frame="1"/>
        </w:rPr>
        <w:t>Retrospectively analyzed banked plasma from 7 animals that received 1 SQ injection, and 3 animals that received 2 SQ injections 9 days apart</w:t>
      </w:r>
    </w:p>
    <w:p w14:paraId="67DA4605" w14:textId="77777777" w:rsidR="004F0598" w:rsidRDefault="004F0598" w:rsidP="004F0598">
      <w:pPr>
        <w:pStyle w:val="ListParagraph"/>
        <w:numPr>
          <w:ilvl w:val="0"/>
          <w:numId w:val="8"/>
        </w:numPr>
        <w:rPr>
          <w:rFonts w:ascii="Calibri" w:eastAsia="Times New Roman" w:hAnsi="Calibri" w:cs="Calibri"/>
          <w:color w:val="000000"/>
          <w:sz w:val="22"/>
          <w:szCs w:val="22"/>
          <w:bdr w:val="none" w:sz="0" w:space="0" w:color="auto" w:frame="1"/>
        </w:rPr>
      </w:pPr>
      <w:r>
        <w:rPr>
          <w:rFonts w:ascii="Calibri" w:eastAsia="Times New Roman" w:hAnsi="Calibri" w:cs="Calibri"/>
          <w:color w:val="000000"/>
          <w:sz w:val="22"/>
          <w:szCs w:val="22"/>
          <w:bdr w:val="none" w:sz="0" w:space="0" w:color="auto" w:frame="1"/>
        </w:rPr>
        <w:t>Single dose PK</w:t>
      </w:r>
    </w:p>
    <w:p w14:paraId="3BBD1691" w14:textId="77777777" w:rsidR="004F0598" w:rsidRDefault="004F0598" w:rsidP="004F0598">
      <w:pPr>
        <w:pStyle w:val="ListParagraph"/>
        <w:numPr>
          <w:ilvl w:val="1"/>
          <w:numId w:val="8"/>
        </w:numPr>
        <w:rPr>
          <w:rFonts w:ascii="Calibri" w:eastAsia="Times New Roman" w:hAnsi="Calibri" w:cs="Calibri"/>
          <w:color w:val="000000"/>
          <w:sz w:val="22"/>
          <w:szCs w:val="22"/>
          <w:bdr w:val="none" w:sz="0" w:space="0" w:color="auto" w:frame="1"/>
        </w:rPr>
      </w:pPr>
      <w:r w:rsidRPr="00E70A49">
        <w:rPr>
          <w:rFonts w:ascii="Calibri" w:eastAsia="Times New Roman" w:hAnsi="Calibri" w:cs="Calibri"/>
          <w:color w:val="000000"/>
          <w:sz w:val="22"/>
          <w:szCs w:val="22"/>
          <w:bdr w:val="none" w:sz="0" w:space="0" w:color="auto" w:frame="1"/>
        </w:rPr>
        <w:t>Tulathromycin concentrations in plasma fell below 0.1 µg/ml by 120 h</w:t>
      </w:r>
    </w:p>
    <w:p w14:paraId="60178FF7" w14:textId="77777777" w:rsidR="004F0598" w:rsidRDefault="004F0598" w:rsidP="004F0598">
      <w:pPr>
        <w:pStyle w:val="ListParagraph"/>
        <w:numPr>
          <w:ilvl w:val="1"/>
          <w:numId w:val="8"/>
        </w:numPr>
        <w:rPr>
          <w:rFonts w:ascii="Calibri" w:eastAsia="Times New Roman" w:hAnsi="Calibri" w:cs="Calibri"/>
          <w:color w:val="000000"/>
          <w:sz w:val="22"/>
          <w:szCs w:val="22"/>
          <w:bdr w:val="none" w:sz="0" w:space="0" w:color="auto" w:frame="1"/>
        </w:rPr>
      </w:pPr>
      <w:r w:rsidRPr="00E70A49">
        <w:rPr>
          <w:rFonts w:ascii="Calibri" w:eastAsia="Times New Roman" w:hAnsi="Calibri" w:cs="Calibri"/>
          <w:color w:val="000000"/>
          <w:sz w:val="22"/>
          <w:szCs w:val="22"/>
          <w:bdr w:val="none" w:sz="0" w:space="0" w:color="auto" w:frame="1"/>
        </w:rPr>
        <w:t xml:space="preserve"> </w:t>
      </w:r>
      <w:r>
        <w:rPr>
          <w:rFonts w:ascii="Calibri" w:eastAsia="Times New Roman" w:hAnsi="Calibri" w:cs="Calibri"/>
          <w:color w:val="000000"/>
          <w:sz w:val="22"/>
          <w:szCs w:val="22"/>
          <w:bdr w:val="none" w:sz="0" w:space="0" w:color="auto" w:frame="1"/>
        </w:rPr>
        <w:t>R</w:t>
      </w:r>
      <w:r w:rsidRPr="00E70A49">
        <w:rPr>
          <w:rFonts w:ascii="Calibri" w:eastAsia="Times New Roman" w:hAnsi="Calibri" w:cs="Calibri"/>
          <w:color w:val="000000"/>
          <w:sz w:val="22"/>
          <w:szCs w:val="22"/>
          <w:bdr w:val="none" w:sz="0" w:space="0" w:color="auto" w:frame="1"/>
        </w:rPr>
        <w:t xml:space="preserve">apid elimination and </w:t>
      </w:r>
      <w:proofErr w:type="gramStart"/>
      <w:r w:rsidRPr="00E70A49">
        <w:rPr>
          <w:rFonts w:ascii="Calibri" w:eastAsia="Times New Roman" w:hAnsi="Calibri" w:cs="Calibri"/>
          <w:color w:val="000000"/>
          <w:sz w:val="22"/>
          <w:szCs w:val="22"/>
          <w:bdr w:val="none" w:sz="0" w:space="0" w:color="auto" w:frame="1"/>
        </w:rPr>
        <w:t>fairly short</w:t>
      </w:r>
      <w:proofErr w:type="gramEnd"/>
      <w:r w:rsidRPr="00E70A49">
        <w:rPr>
          <w:rFonts w:ascii="Calibri" w:eastAsia="Times New Roman" w:hAnsi="Calibri" w:cs="Calibri"/>
          <w:color w:val="000000"/>
          <w:sz w:val="22"/>
          <w:szCs w:val="22"/>
          <w:bdr w:val="none" w:sz="0" w:space="0" w:color="auto" w:frame="1"/>
        </w:rPr>
        <w:t xml:space="preserve"> half-life (T1/2) of 33.75 h</w:t>
      </w:r>
    </w:p>
    <w:p w14:paraId="02FAE807" w14:textId="77777777" w:rsidR="004F0598" w:rsidRDefault="004F0598" w:rsidP="004F0598">
      <w:pPr>
        <w:pStyle w:val="ListParagraph"/>
        <w:numPr>
          <w:ilvl w:val="2"/>
          <w:numId w:val="8"/>
        </w:numPr>
        <w:rPr>
          <w:rFonts w:ascii="Calibri" w:eastAsia="Times New Roman" w:hAnsi="Calibri" w:cs="Calibri"/>
          <w:color w:val="000000"/>
          <w:sz w:val="22"/>
          <w:szCs w:val="22"/>
          <w:bdr w:val="none" w:sz="0" w:space="0" w:color="auto" w:frame="1"/>
        </w:rPr>
      </w:pPr>
      <w:r>
        <w:rPr>
          <w:rFonts w:ascii="Calibri" w:eastAsia="Times New Roman" w:hAnsi="Calibri" w:cs="Calibri"/>
          <w:color w:val="000000"/>
          <w:sz w:val="22"/>
          <w:szCs w:val="22"/>
          <w:bdr w:val="none" w:sz="0" w:space="0" w:color="auto" w:frame="1"/>
        </w:rPr>
        <w:t>Shorter than T1/2 for cattle (</w:t>
      </w:r>
      <w:r w:rsidRPr="00E70A49">
        <w:rPr>
          <w:rFonts w:ascii="Calibri" w:eastAsia="Times New Roman" w:hAnsi="Calibri" w:cs="Calibri"/>
          <w:color w:val="000000"/>
          <w:sz w:val="22"/>
          <w:szCs w:val="22"/>
          <w:bdr w:val="none" w:sz="0" w:space="0" w:color="auto" w:frame="1"/>
        </w:rPr>
        <w:t>44 h to 90 h</w:t>
      </w:r>
      <w:r>
        <w:rPr>
          <w:rFonts w:ascii="Calibri" w:eastAsia="Times New Roman" w:hAnsi="Calibri" w:cs="Calibri"/>
          <w:color w:val="000000"/>
          <w:sz w:val="22"/>
          <w:szCs w:val="22"/>
          <w:bdr w:val="none" w:sz="0" w:space="0" w:color="auto" w:frame="1"/>
        </w:rPr>
        <w:t>)</w:t>
      </w:r>
    </w:p>
    <w:p w14:paraId="6EA3FA3B" w14:textId="77777777" w:rsidR="004F0598" w:rsidRDefault="004F0598" w:rsidP="004F0598">
      <w:pPr>
        <w:pStyle w:val="ListParagraph"/>
        <w:numPr>
          <w:ilvl w:val="0"/>
          <w:numId w:val="8"/>
        </w:numPr>
        <w:rPr>
          <w:rFonts w:ascii="Calibri" w:eastAsia="Times New Roman" w:hAnsi="Calibri" w:cs="Calibri"/>
          <w:color w:val="000000"/>
          <w:sz w:val="22"/>
          <w:szCs w:val="22"/>
          <w:bdr w:val="none" w:sz="0" w:space="0" w:color="auto" w:frame="1"/>
        </w:rPr>
      </w:pPr>
      <w:r>
        <w:rPr>
          <w:rFonts w:ascii="Calibri" w:eastAsia="Times New Roman" w:hAnsi="Calibri" w:cs="Calibri"/>
          <w:color w:val="000000"/>
          <w:sz w:val="22"/>
          <w:szCs w:val="22"/>
          <w:bdr w:val="none" w:sz="0" w:space="0" w:color="auto" w:frame="1"/>
        </w:rPr>
        <w:t>Double dose PK</w:t>
      </w:r>
    </w:p>
    <w:p w14:paraId="23C3914A" w14:textId="77777777" w:rsidR="004F0598" w:rsidRDefault="004F0598" w:rsidP="004F0598">
      <w:pPr>
        <w:pStyle w:val="ListParagraph"/>
        <w:numPr>
          <w:ilvl w:val="1"/>
          <w:numId w:val="8"/>
        </w:numPr>
        <w:rPr>
          <w:rFonts w:ascii="Calibri" w:eastAsia="Times New Roman" w:hAnsi="Calibri" w:cs="Calibri"/>
          <w:color w:val="000000"/>
          <w:sz w:val="22"/>
          <w:szCs w:val="22"/>
          <w:bdr w:val="none" w:sz="0" w:space="0" w:color="auto" w:frame="1"/>
        </w:rPr>
      </w:pPr>
      <w:r w:rsidRPr="00E70A49">
        <w:rPr>
          <w:rFonts w:ascii="Calibri" w:eastAsia="Times New Roman" w:hAnsi="Calibri" w:cs="Calibri"/>
          <w:color w:val="000000"/>
          <w:sz w:val="22"/>
          <w:szCs w:val="22"/>
          <w:bdr w:val="none" w:sz="0" w:space="0" w:color="auto" w:frame="1"/>
        </w:rPr>
        <w:t xml:space="preserve">Tulathromycin concentrations in plasma fell below 0.1 µg/ml after 216 h </w:t>
      </w:r>
    </w:p>
    <w:p w14:paraId="20A984FF" w14:textId="77777777" w:rsidR="004F0598" w:rsidRDefault="004F0598" w:rsidP="004F0598">
      <w:pPr>
        <w:pStyle w:val="ListParagraph"/>
        <w:numPr>
          <w:ilvl w:val="1"/>
          <w:numId w:val="8"/>
        </w:numPr>
        <w:rPr>
          <w:rFonts w:ascii="Calibri" w:eastAsia="Times New Roman" w:hAnsi="Calibri" w:cs="Calibri"/>
          <w:color w:val="000000"/>
          <w:sz w:val="22"/>
          <w:szCs w:val="22"/>
          <w:bdr w:val="none" w:sz="0" w:space="0" w:color="auto" w:frame="1"/>
        </w:rPr>
      </w:pPr>
      <w:r>
        <w:rPr>
          <w:rFonts w:ascii="Calibri" w:eastAsia="Times New Roman" w:hAnsi="Calibri" w:cs="Calibri"/>
          <w:color w:val="000000"/>
          <w:sz w:val="22"/>
          <w:szCs w:val="22"/>
          <w:bdr w:val="none" w:sz="0" w:space="0" w:color="auto" w:frame="1"/>
        </w:rPr>
        <w:t>P</w:t>
      </w:r>
      <w:r w:rsidRPr="00E70A49">
        <w:rPr>
          <w:rFonts w:ascii="Calibri" w:eastAsia="Times New Roman" w:hAnsi="Calibri" w:cs="Calibri"/>
          <w:color w:val="000000"/>
          <w:sz w:val="22"/>
          <w:szCs w:val="22"/>
          <w:bdr w:val="none" w:sz="0" w:space="0" w:color="auto" w:frame="1"/>
        </w:rPr>
        <w:t>rolonged elimination phase with a long half-life (T1/2) of 279.32 h</w:t>
      </w:r>
    </w:p>
    <w:p w14:paraId="225FFE8F" w14:textId="77777777" w:rsidR="004F0598" w:rsidRDefault="004F0598" w:rsidP="004F0598">
      <w:pPr>
        <w:pStyle w:val="ListParagraph"/>
        <w:numPr>
          <w:ilvl w:val="1"/>
          <w:numId w:val="8"/>
        </w:numPr>
        <w:rPr>
          <w:rFonts w:ascii="Calibri" w:eastAsia="Times New Roman" w:hAnsi="Calibri" w:cs="Calibri"/>
          <w:color w:val="000000"/>
          <w:sz w:val="22"/>
          <w:szCs w:val="22"/>
          <w:bdr w:val="none" w:sz="0" w:space="0" w:color="auto" w:frame="1"/>
        </w:rPr>
      </w:pPr>
      <w:r>
        <w:rPr>
          <w:rFonts w:ascii="Calibri" w:eastAsia="Times New Roman" w:hAnsi="Calibri" w:cs="Calibri"/>
          <w:color w:val="000000"/>
          <w:sz w:val="22"/>
          <w:szCs w:val="22"/>
          <w:bdr w:val="none" w:sz="0" w:space="0" w:color="auto" w:frame="1"/>
        </w:rPr>
        <w:t>Yielded longer T1/2 and greater volume of distribution compared to single dose</w:t>
      </w:r>
    </w:p>
    <w:p w14:paraId="57B57835" w14:textId="77777777" w:rsidR="004F0598" w:rsidRDefault="004F0598" w:rsidP="004F0598">
      <w:pPr>
        <w:pStyle w:val="ListParagraph"/>
        <w:numPr>
          <w:ilvl w:val="0"/>
          <w:numId w:val="8"/>
        </w:numPr>
        <w:rPr>
          <w:rFonts w:ascii="Calibri" w:eastAsia="Times New Roman" w:hAnsi="Calibri" w:cs="Calibri"/>
          <w:color w:val="000000"/>
          <w:sz w:val="22"/>
          <w:szCs w:val="22"/>
          <w:bdr w:val="none" w:sz="0" w:space="0" w:color="auto" w:frame="1"/>
        </w:rPr>
      </w:pPr>
      <w:r>
        <w:rPr>
          <w:rFonts w:ascii="Calibri" w:eastAsia="Times New Roman" w:hAnsi="Calibri" w:cs="Calibri"/>
          <w:color w:val="000000"/>
          <w:sz w:val="22"/>
          <w:szCs w:val="22"/>
          <w:bdr w:val="none" w:sz="0" w:space="0" w:color="auto" w:frame="1"/>
        </w:rPr>
        <w:t>Cattle study showed higher drug concentrations in lungs than plasma; may be true for manatees (supported by large volume of distribution, volume of distribution comparable to cattle)</w:t>
      </w:r>
    </w:p>
    <w:p w14:paraId="67D1754C" w14:textId="77777777" w:rsidR="004F0598" w:rsidRDefault="004F0598" w:rsidP="004F0598">
      <w:pPr>
        <w:pStyle w:val="ListParagraph"/>
        <w:numPr>
          <w:ilvl w:val="0"/>
          <w:numId w:val="8"/>
        </w:numPr>
        <w:rPr>
          <w:rFonts w:ascii="Calibri" w:eastAsia="Times New Roman" w:hAnsi="Calibri" w:cs="Calibri"/>
          <w:color w:val="000000"/>
          <w:sz w:val="22"/>
          <w:szCs w:val="22"/>
          <w:bdr w:val="none" w:sz="0" w:space="0" w:color="auto" w:frame="1"/>
        </w:rPr>
      </w:pPr>
      <w:r>
        <w:rPr>
          <w:rFonts w:ascii="Calibri" w:eastAsia="Times New Roman" w:hAnsi="Calibri" w:cs="Calibri"/>
          <w:color w:val="000000"/>
          <w:sz w:val="22"/>
          <w:szCs w:val="22"/>
          <w:bdr w:val="none" w:sz="0" w:space="0" w:color="auto" w:frame="1"/>
        </w:rPr>
        <w:t xml:space="preserve">Manatees were clinically ill; </w:t>
      </w:r>
      <w:r w:rsidRPr="0058201B">
        <w:rPr>
          <w:rFonts w:ascii="Calibri" w:eastAsia="Times New Roman" w:hAnsi="Calibri" w:cs="Calibri"/>
          <w:color w:val="000000"/>
          <w:sz w:val="22"/>
          <w:szCs w:val="22"/>
          <w:bdr w:val="none" w:sz="0" w:space="0" w:color="auto" w:frame="1"/>
        </w:rPr>
        <w:t xml:space="preserve">pneumonia, pulmonary trauma, renal disease, or concomitant diseases could have effects on the clearance and volume of distribution </w:t>
      </w:r>
    </w:p>
    <w:p w14:paraId="698DE1F6" w14:textId="77777777" w:rsidR="004F0598" w:rsidRDefault="004F0598" w:rsidP="004F0598">
      <w:pPr>
        <w:pStyle w:val="ListParagraph"/>
        <w:numPr>
          <w:ilvl w:val="0"/>
          <w:numId w:val="8"/>
        </w:numPr>
        <w:rPr>
          <w:rFonts w:ascii="Calibri" w:eastAsia="Times New Roman" w:hAnsi="Calibri" w:cs="Calibri"/>
          <w:color w:val="000000"/>
          <w:sz w:val="22"/>
          <w:szCs w:val="22"/>
          <w:bdr w:val="none" w:sz="0" w:space="0" w:color="auto" w:frame="1"/>
        </w:rPr>
      </w:pPr>
      <w:r>
        <w:rPr>
          <w:rFonts w:ascii="Calibri" w:eastAsia="Times New Roman" w:hAnsi="Calibri" w:cs="Calibri"/>
          <w:color w:val="000000"/>
          <w:sz w:val="22"/>
          <w:szCs w:val="22"/>
          <w:bdr w:val="none" w:sz="0" w:space="0" w:color="auto" w:frame="1"/>
        </w:rPr>
        <w:t>No adverse effects</w:t>
      </w:r>
    </w:p>
    <w:p w14:paraId="03229627" w14:textId="77777777" w:rsidR="004F0598" w:rsidRPr="00E70A49" w:rsidRDefault="004F0598" w:rsidP="004F0598">
      <w:pPr>
        <w:pStyle w:val="ListParagraph"/>
        <w:numPr>
          <w:ilvl w:val="0"/>
          <w:numId w:val="8"/>
        </w:numPr>
        <w:rPr>
          <w:rFonts w:ascii="Calibri" w:eastAsia="Times New Roman" w:hAnsi="Calibri" w:cs="Calibri"/>
          <w:color w:val="000000"/>
          <w:sz w:val="22"/>
          <w:szCs w:val="22"/>
          <w:bdr w:val="none" w:sz="0" w:space="0" w:color="auto" w:frame="1"/>
        </w:rPr>
      </w:pPr>
      <w:r>
        <w:rPr>
          <w:rFonts w:ascii="Calibri" w:eastAsia="Times New Roman" w:hAnsi="Calibri" w:cs="Calibri"/>
          <w:color w:val="000000"/>
          <w:sz w:val="22"/>
          <w:szCs w:val="22"/>
          <w:bdr w:val="none" w:sz="0" w:space="0" w:color="auto" w:frame="1"/>
        </w:rPr>
        <w:t>First PK in Florida manatees</w:t>
      </w:r>
    </w:p>
    <w:p w14:paraId="60E70C57" w14:textId="77777777" w:rsidR="004F0598" w:rsidRPr="00C44C73" w:rsidRDefault="004F0598" w:rsidP="004F0598">
      <w:pPr>
        <w:rPr>
          <w:rFonts w:ascii="Times New Roman" w:eastAsia="Times New Roman" w:hAnsi="Times New Roman" w:cs="Times New Roman"/>
        </w:rPr>
      </w:pPr>
    </w:p>
    <w:p w14:paraId="1AD14BF6" w14:textId="77777777" w:rsidR="004F0598" w:rsidRPr="00C44C73" w:rsidRDefault="004F0598" w:rsidP="004F0598">
      <w:pPr>
        <w:rPr>
          <w:rFonts w:ascii="Times New Roman" w:eastAsia="Times New Roman" w:hAnsi="Times New Roman" w:cs="Times New Roman"/>
        </w:rPr>
      </w:pPr>
      <w:r w:rsidRPr="00C44C73">
        <w:rPr>
          <w:rFonts w:ascii="Calibri" w:eastAsia="Times New Roman" w:hAnsi="Calibri" w:cs="Calibri"/>
          <w:b/>
          <w:bCs/>
          <w:color w:val="000000"/>
          <w:sz w:val="22"/>
          <w:szCs w:val="22"/>
        </w:rPr>
        <w:t>Take-Home Message:</w:t>
      </w:r>
    </w:p>
    <w:p w14:paraId="6A5BEB7D" w14:textId="77777777" w:rsidR="004F0598" w:rsidRPr="00C44C73" w:rsidRDefault="004F0598" w:rsidP="004F0598">
      <w:pPr>
        <w:numPr>
          <w:ilvl w:val="0"/>
          <w:numId w:val="7"/>
        </w:numPr>
        <w:textAlignment w:val="baseline"/>
        <w:rPr>
          <w:rFonts w:ascii="Calibri" w:eastAsia="Times New Roman" w:hAnsi="Calibri" w:cs="Calibri"/>
          <w:color w:val="000000"/>
          <w:sz w:val="22"/>
          <w:szCs w:val="22"/>
        </w:rPr>
      </w:pPr>
      <w:r>
        <w:rPr>
          <w:rFonts w:ascii="Calibri" w:eastAsia="Times New Roman" w:hAnsi="Calibri" w:cs="Calibri"/>
          <w:color w:val="000000"/>
          <w:sz w:val="22"/>
          <w:szCs w:val="22"/>
        </w:rPr>
        <w:t>T</w:t>
      </w:r>
      <w:r w:rsidRPr="0058201B">
        <w:rPr>
          <w:rFonts w:ascii="Calibri" w:eastAsia="Times New Roman" w:hAnsi="Calibri" w:cs="Calibri"/>
          <w:color w:val="000000"/>
          <w:sz w:val="22"/>
          <w:szCs w:val="22"/>
        </w:rPr>
        <w:t>ulathromycin can reach clinically applicable pharmacokinetic values within the manatee.</w:t>
      </w:r>
      <w:r>
        <w:rPr>
          <w:rFonts w:ascii="Calibri" w:eastAsia="Times New Roman" w:hAnsi="Calibri" w:cs="Calibri"/>
          <w:color w:val="000000"/>
          <w:sz w:val="22"/>
          <w:szCs w:val="22"/>
        </w:rPr>
        <w:t xml:space="preserve"> </w:t>
      </w:r>
      <w:r w:rsidRPr="0058201B">
        <w:rPr>
          <w:rFonts w:ascii="Calibri" w:eastAsia="Times New Roman" w:hAnsi="Calibri" w:cs="Calibri"/>
          <w:color w:val="000000"/>
          <w:sz w:val="22"/>
          <w:szCs w:val="22"/>
        </w:rPr>
        <w:t>Given that the pharmacokinetic data suggest a more prolonged and persistent concentration in the body, the current multidose regimen is supported</w:t>
      </w:r>
      <w:r>
        <w:rPr>
          <w:rFonts w:ascii="Calibri" w:eastAsia="Times New Roman" w:hAnsi="Calibri" w:cs="Calibri"/>
          <w:color w:val="000000"/>
          <w:sz w:val="22"/>
          <w:szCs w:val="22"/>
        </w:rPr>
        <w:t xml:space="preserve"> (2.5 mg/kg SQ q7d).</w:t>
      </w:r>
    </w:p>
    <w:p w14:paraId="6366136B" w14:textId="77777777" w:rsidR="004F0598" w:rsidRPr="00C44C73" w:rsidRDefault="004F0598" w:rsidP="004F0598">
      <w:pPr>
        <w:pBdr>
          <w:bottom w:val="single" w:sz="12" w:space="1" w:color="000000"/>
        </w:pBdr>
        <w:jc w:val="center"/>
        <w:rPr>
          <w:rFonts w:ascii="Times New Roman" w:eastAsia="Times New Roman" w:hAnsi="Times New Roman" w:cs="Times New Roman"/>
        </w:rPr>
      </w:pPr>
    </w:p>
    <w:p w14:paraId="5E03D71F" w14:textId="77777777" w:rsidR="004F0598" w:rsidRDefault="004F0598" w:rsidP="004F0598">
      <w:pPr>
        <w:rPr>
          <w:rFonts w:ascii="Calibri" w:eastAsia="Times New Roman" w:hAnsi="Calibri" w:cs="Calibri"/>
          <w:color w:val="000000"/>
          <w:sz w:val="22"/>
          <w:szCs w:val="22"/>
        </w:rPr>
      </w:pPr>
    </w:p>
    <w:p w14:paraId="5460A5A4" w14:textId="77777777" w:rsidR="004F0598" w:rsidRPr="00C44C73" w:rsidRDefault="004F0598" w:rsidP="004F0598">
      <w:pPr>
        <w:rPr>
          <w:rFonts w:ascii="Times New Roman" w:eastAsia="Times New Roman" w:hAnsi="Times New Roman" w:cs="Times New Roman"/>
        </w:rPr>
      </w:pPr>
      <w:r w:rsidRPr="00C44C73">
        <w:rPr>
          <w:rFonts w:ascii="Calibri" w:eastAsia="Times New Roman" w:hAnsi="Calibri" w:cs="Calibri"/>
          <w:color w:val="000000"/>
          <w:sz w:val="22"/>
          <w:szCs w:val="22"/>
        </w:rPr>
        <w:t>Journal of Zoo and Wildlife Medicine, 52(3): 1084-1089, 2021</w:t>
      </w:r>
    </w:p>
    <w:p w14:paraId="1ABF5534" w14:textId="77777777" w:rsidR="004F0598" w:rsidRPr="00C44C73" w:rsidRDefault="004F0598" w:rsidP="004F0598">
      <w:pPr>
        <w:rPr>
          <w:rFonts w:ascii="Times New Roman" w:eastAsia="Times New Roman" w:hAnsi="Times New Roman" w:cs="Times New Roman"/>
        </w:rPr>
      </w:pPr>
      <w:r w:rsidRPr="00C44C73">
        <w:rPr>
          <w:rFonts w:ascii="Calibri" w:eastAsia="Times New Roman" w:hAnsi="Calibri" w:cs="Calibri"/>
          <w:b/>
          <w:bCs/>
          <w:color w:val="000000"/>
          <w:sz w:val="22"/>
          <w:szCs w:val="22"/>
        </w:rPr>
        <w:t>PRESENTATION AND MANAGEMENT OF DENTAL PAD FRACTURES IN TWO FLORIDA MANATEES (</w:t>
      </w:r>
      <w:r w:rsidRPr="00C44C73">
        <w:rPr>
          <w:rFonts w:ascii="Calibri" w:eastAsia="Times New Roman" w:hAnsi="Calibri" w:cs="Calibri"/>
          <w:b/>
          <w:bCs/>
          <w:i/>
          <w:iCs/>
          <w:color w:val="000000"/>
          <w:sz w:val="22"/>
          <w:szCs w:val="22"/>
        </w:rPr>
        <w:t>TRICHECHUS MANATUS LATIROSTRIS</w:t>
      </w:r>
      <w:r w:rsidRPr="00C44C73">
        <w:rPr>
          <w:rFonts w:ascii="Calibri" w:eastAsia="Times New Roman" w:hAnsi="Calibri" w:cs="Calibri"/>
          <w:b/>
          <w:bCs/>
          <w:color w:val="000000"/>
          <w:sz w:val="22"/>
          <w:szCs w:val="22"/>
        </w:rPr>
        <w:t>)</w:t>
      </w:r>
    </w:p>
    <w:p w14:paraId="39347073" w14:textId="77777777" w:rsidR="004F0598" w:rsidRPr="00C44C73" w:rsidRDefault="004F0598" w:rsidP="004F0598">
      <w:pPr>
        <w:rPr>
          <w:rFonts w:ascii="Times New Roman" w:eastAsia="Times New Roman" w:hAnsi="Times New Roman" w:cs="Times New Roman"/>
        </w:rPr>
      </w:pPr>
      <w:r w:rsidRPr="00C44C73">
        <w:rPr>
          <w:rFonts w:ascii="Calibri" w:eastAsia="Times New Roman" w:hAnsi="Calibri" w:cs="Calibri"/>
          <w:color w:val="000000"/>
          <w:sz w:val="22"/>
          <w:szCs w:val="22"/>
        </w:rPr>
        <w:t xml:space="preserve">Whitney Greene, Vivian M. Lee, Lynne Byrd, Laura </w:t>
      </w:r>
      <w:proofErr w:type="spellStart"/>
      <w:r w:rsidRPr="00C44C73">
        <w:rPr>
          <w:rFonts w:ascii="Calibri" w:eastAsia="Times New Roman" w:hAnsi="Calibri" w:cs="Calibri"/>
          <w:color w:val="000000"/>
          <w:sz w:val="22"/>
          <w:szCs w:val="22"/>
        </w:rPr>
        <w:t>Denum</w:t>
      </w:r>
      <w:proofErr w:type="spellEnd"/>
      <w:r w:rsidRPr="00C44C73">
        <w:rPr>
          <w:rFonts w:ascii="Calibri" w:eastAsia="Times New Roman" w:hAnsi="Calibri" w:cs="Calibri"/>
          <w:color w:val="000000"/>
          <w:sz w:val="22"/>
          <w:szCs w:val="22"/>
        </w:rPr>
        <w:t>, Katharine Boerner, M. Andrew Stamper</w:t>
      </w:r>
    </w:p>
    <w:p w14:paraId="2BCACD56" w14:textId="77777777" w:rsidR="004F0598" w:rsidRPr="00C44C73" w:rsidRDefault="004F0598" w:rsidP="004F0598">
      <w:pPr>
        <w:rPr>
          <w:rFonts w:ascii="Times New Roman" w:eastAsia="Times New Roman" w:hAnsi="Times New Roman" w:cs="Times New Roman"/>
        </w:rPr>
      </w:pPr>
    </w:p>
    <w:p w14:paraId="1E3422C1" w14:textId="77777777" w:rsidR="004F0598" w:rsidRPr="00C44C73" w:rsidRDefault="004F0598" w:rsidP="004F0598">
      <w:pPr>
        <w:rPr>
          <w:rFonts w:ascii="Times New Roman" w:eastAsia="Times New Roman" w:hAnsi="Times New Roman" w:cs="Times New Roman"/>
        </w:rPr>
      </w:pPr>
      <w:r w:rsidRPr="00C44C73">
        <w:rPr>
          <w:rFonts w:ascii="Calibri" w:eastAsia="Times New Roman" w:hAnsi="Calibri" w:cs="Calibri"/>
          <w:b/>
          <w:bCs/>
          <w:color w:val="000000"/>
          <w:sz w:val="22"/>
          <w:szCs w:val="22"/>
        </w:rPr>
        <w:t>Abstract:</w:t>
      </w:r>
    </w:p>
    <w:p w14:paraId="5125F6AB" w14:textId="77777777" w:rsidR="004F0598" w:rsidRPr="00C44C73" w:rsidRDefault="004F0598" w:rsidP="004F0598">
      <w:pPr>
        <w:rPr>
          <w:rFonts w:ascii="Times New Roman" w:eastAsia="Times New Roman" w:hAnsi="Times New Roman" w:cs="Times New Roman"/>
        </w:rPr>
      </w:pPr>
      <w:r w:rsidRPr="00C44C73">
        <w:rPr>
          <w:rFonts w:ascii="Calibri" w:eastAsia="Times New Roman" w:hAnsi="Calibri" w:cs="Calibri"/>
          <w:color w:val="000000"/>
          <w:sz w:val="22"/>
          <w:szCs w:val="22"/>
        </w:rPr>
        <w:t xml:space="preserve">The </w:t>
      </w:r>
      <w:r w:rsidRPr="00C44C73">
        <w:rPr>
          <w:rFonts w:ascii="Calibri" w:eastAsia="Times New Roman" w:hAnsi="Calibri" w:cs="Calibri"/>
          <w:b/>
          <w:bCs/>
          <w:color w:val="000000"/>
          <w:sz w:val="22"/>
          <w:szCs w:val="22"/>
        </w:rPr>
        <w:t>Florida manatee</w:t>
      </w:r>
      <w:r w:rsidRPr="00C44C73">
        <w:rPr>
          <w:rFonts w:ascii="Calibri" w:eastAsia="Times New Roman" w:hAnsi="Calibri" w:cs="Calibri"/>
          <w:color w:val="000000"/>
          <w:sz w:val="22"/>
          <w:szCs w:val="22"/>
        </w:rPr>
        <w:t xml:space="preserve"> (</w:t>
      </w:r>
      <w:r w:rsidRPr="00C44C73">
        <w:rPr>
          <w:rFonts w:ascii="Calibri" w:eastAsia="Times New Roman" w:hAnsi="Calibri" w:cs="Calibri"/>
          <w:i/>
          <w:iCs/>
          <w:color w:val="000000"/>
          <w:sz w:val="22"/>
          <w:szCs w:val="22"/>
        </w:rPr>
        <w:t xml:space="preserve">Trichechus manatus </w:t>
      </w:r>
      <w:proofErr w:type="spellStart"/>
      <w:r w:rsidRPr="00C44C73">
        <w:rPr>
          <w:rFonts w:ascii="Calibri" w:eastAsia="Times New Roman" w:hAnsi="Calibri" w:cs="Calibri"/>
          <w:i/>
          <w:iCs/>
          <w:color w:val="000000"/>
          <w:sz w:val="22"/>
          <w:szCs w:val="22"/>
        </w:rPr>
        <w:t>latirostris</w:t>
      </w:r>
      <w:proofErr w:type="spellEnd"/>
      <w:r w:rsidRPr="00C44C73">
        <w:rPr>
          <w:rFonts w:ascii="Calibri" w:eastAsia="Times New Roman" w:hAnsi="Calibri" w:cs="Calibri"/>
          <w:color w:val="000000"/>
          <w:sz w:val="22"/>
          <w:szCs w:val="22"/>
        </w:rPr>
        <w:t xml:space="preserve">) has well-developed </w:t>
      </w:r>
      <w:r w:rsidRPr="00C44C73">
        <w:rPr>
          <w:rFonts w:ascii="Calibri" w:eastAsia="Times New Roman" w:hAnsi="Calibri" w:cs="Calibri"/>
          <w:b/>
          <w:bCs/>
          <w:color w:val="000000"/>
          <w:sz w:val="22"/>
          <w:szCs w:val="22"/>
        </w:rPr>
        <w:t xml:space="preserve">keratinized dental pads at the most rostral aspect of their mouth to assist with mastication. </w:t>
      </w:r>
      <w:r w:rsidRPr="00C44C73">
        <w:rPr>
          <w:rFonts w:ascii="Calibri" w:eastAsia="Times New Roman" w:hAnsi="Calibri" w:cs="Calibri"/>
          <w:color w:val="000000"/>
          <w:sz w:val="22"/>
          <w:szCs w:val="22"/>
        </w:rPr>
        <w:t xml:space="preserve">This unique development is thought to be an adaptive response to their highly abrasive diets that contain phytoliths and sediments that may accelerate dental wear. In May 2013, two Florida manatees presented with </w:t>
      </w:r>
      <w:r w:rsidRPr="00C44C73">
        <w:rPr>
          <w:rFonts w:ascii="Calibri" w:eastAsia="Times New Roman" w:hAnsi="Calibri" w:cs="Calibri"/>
          <w:b/>
          <w:bCs/>
          <w:color w:val="000000"/>
          <w:sz w:val="22"/>
          <w:szCs w:val="22"/>
        </w:rPr>
        <w:t>multiple fractures in their inferior dental pads.</w:t>
      </w:r>
      <w:r w:rsidRPr="00C44C73">
        <w:rPr>
          <w:rFonts w:ascii="Calibri" w:eastAsia="Times New Roman" w:hAnsi="Calibri" w:cs="Calibri"/>
          <w:color w:val="000000"/>
          <w:sz w:val="22"/>
          <w:szCs w:val="22"/>
        </w:rPr>
        <w:t xml:space="preserve"> The fractures were successfully managed with </w:t>
      </w:r>
      <w:r w:rsidRPr="00C44C73">
        <w:rPr>
          <w:rFonts w:ascii="Calibri" w:eastAsia="Times New Roman" w:hAnsi="Calibri" w:cs="Calibri"/>
          <w:b/>
          <w:bCs/>
          <w:color w:val="000000"/>
          <w:sz w:val="22"/>
          <w:szCs w:val="22"/>
        </w:rPr>
        <w:t>nutritional modifications, dental pad trimming, and vigilant monitoring through behavioral husbandry training.</w:t>
      </w:r>
      <w:r w:rsidRPr="00C44C73">
        <w:rPr>
          <w:rFonts w:ascii="Calibri" w:eastAsia="Times New Roman" w:hAnsi="Calibri" w:cs="Calibri"/>
          <w:color w:val="000000"/>
          <w:sz w:val="22"/>
          <w:szCs w:val="22"/>
        </w:rPr>
        <w:t xml:space="preserve"> Signs of </w:t>
      </w:r>
      <w:r w:rsidRPr="00C44C73">
        <w:rPr>
          <w:rFonts w:ascii="Calibri" w:eastAsia="Times New Roman" w:hAnsi="Calibri" w:cs="Calibri"/>
          <w:b/>
          <w:bCs/>
          <w:color w:val="000000"/>
          <w:sz w:val="22"/>
          <w:szCs w:val="22"/>
        </w:rPr>
        <w:t>spontaneous healing were observed as early as 60 days</w:t>
      </w:r>
      <w:r w:rsidRPr="00C44C73">
        <w:rPr>
          <w:rFonts w:ascii="Calibri" w:eastAsia="Times New Roman" w:hAnsi="Calibri" w:cs="Calibri"/>
          <w:color w:val="000000"/>
          <w:sz w:val="22"/>
          <w:szCs w:val="22"/>
        </w:rPr>
        <w:t xml:space="preserve"> after initial presentation with subsequent full resolution. Although surgical intervention was planned, the spontaneous healing mitigated significant health risks associated with the procedure. To the authors' knowledge, these are the first reported cases of dental pad fractures and their spontaneous healing and resolution in manatees.</w:t>
      </w:r>
    </w:p>
    <w:p w14:paraId="3874CC92" w14:textId="77777777" w:rsidR="004F0598" w:rsidRPr="00C44C73" w:rsidRDefault="004F0598" w:rsidP="004F0598">
      <w:pPr>
        <w:rPr>
          <w:rFonts w:ascii="Times New Roman" w:eastAsia="Times New Roman" w:hAnsi="Times New Roman" w:cs="Times New Roman"/>
        </w:rPr>
      </w:pPr>
    </w:p>
    <w:p w14:paraId="73D8DDB2" w14:textId="77777777" w:rsidR="004F0598" w:rsidRPr="00C44C73" w:rsidRDefault="004F0598" w:rsidP="004F0598">
      <w:pPr>
        <w:rPr>
          <w:rFonts w:ascii="Times New Roman" w:eastAsia="Times New Roman" w:hAnsi="Times New Roman" w:cs="Times New Roman"/>
        </w:rPr>
      </w:pPr>
      <w:r w:rsidRPr="00C44C73">
        <w:rPr>
          <w:rFonts w:ascii="Calibri" w:eastAsia="Times New Roman" w:hAnsi="Calibri" w:cs="Calibri"/>
          <w:b/>
          <w:bCs/>
          <w:color w:val="000000"/>
          <w:sz w:val="22"/>
          <w:szCs w:val="22"/>
        </w:rPr>
        <w:t>Key Points:</w:t>
      </w:r>
    </w:p>
    <w:p w14:paraId="61BDDBA4" w14:textId="77777777" w:rsidR="004F0598" w:rsidRPr="00C44C73" w:rsidRDefault="004F0598" w:rsidP="004F0598">
      <w:pPr>
        <w:numPr>
          <w:ilvl w:val="0"/>
          <w:numId w:val="6"/>
        </w:numPr>
        <w:textAlignment w:val="baseline"/>
        <w:rPr>
          <w:rFonts w:ascii="Calibri" w:eastAsia="Times New Roman" w:hAnsi="Calibri" w:cs="Calibri"/>
          <w:color w:val="000000"/>
          <w:sz w:val="22"/>
          <w:szCs w:val="22"/>
        </w:rPr>
      </w:pPr>
      <w:r w:rsidRPr="00C44C73">
        <w:rPr>
          <w:rFonts w:ascii="Calibri" w:eastAsia="Times New Roman" w:hAnsi="Calibri" w:cs="Calibri"/>
          <w:color w:val="000000"/>
          <w:sz w:val="22"/>
          <w:szCs w:val="22"/>
        </w:rPr>
        <w:t>Adult manatees may consume 5-10% of their BW daily and are known to eat &gt;60 species of plants in Florida.</w:t>
      </w:r>
    </w:p>
    <w:p w14:paraId="4BA004A9" w14:textId="77777777" w:rsidR="004F0598" w:rsidRPr="00C44C73" w:rsidRDefault="004F0598" w:rsidP="004F0598">
      <w:pPr>
        <w:numPr>
          <w:ilvl w:val="0"/>
          <w:numId w:val="6"/>
        </w:numPr>
        <w:textAlignment w:val="baseline"/>
        <w:rPr>
          <w:rFonts w:ascii="Calibri" w:eastAsia="Times New Roman" w:hAnsi="Calibri" w:cs="Calibri"/>
          <w:color w:val="000000"/>
          <w:sz w:val="22"/>
          <w:szCs w:val="22"/>
        </w:rPr>
      </w:pPr>
      <w:r w:rsidRPr="00C44C73">
        <w:rPr>
          <w:rFonts w:ascii="Calibri" w:eastAsia="Times New Roman" w:hAnsi="Calibri" w:cs="Calibri"/>
          <w:color w:val="000000"/>
          <w:sz w:val="22"/>
          <w:szCs w:val="22"/>
        </w:rPr>
        <w:lastRenderedPageBreak/>
        <w:t>Manatees have only molariform teeth. They lack canines and incisors that are replaced by gingival plates adjacent to the commissure of the mouth.</w:t>
      </w:r>
    </w:p>
    <w:p w14:paraId="54DF9851" w14:textId="77777777" w:rsidR="004F0598" w:rsidRPr="00C44C73" w:rsidRDefault="004F0598" w:rsidP="004F0598">
      <w:pPr>
        <w:numPr>
          <w:ilvl w:val="0"/>
          <w:numId w:val="6"/>
        </w:numPr>
        <w:textAlignment w:val="baseline"/>
        <w:rPr>
          <w:rFonts w:ascii="Calibri" w:eastAsia="Times New Roman" w:hAnsi="Calibri" w:cs="Calibri"/>
          <w:color w:val="000000"/>
          <w:sz w:val="22"/>
          <w:szCs w:val="22"/>
        </w:rPr>
      </w:pPr>
      <w:r w:rsidRPr="00C44C73">
        <w:rPr>
          <w:rFonts w:ascii="Calibri" w:eastAsia="Times New Roman" w:hAnsi="Calibri" w:cs="Calibri"/>
          <w:color w:val="000000"/>
          <w:sz w:val="22"/>
          <w:szCs w:val="22"/>
        </w:rPr>
        <w:t>They continuously develop new molars and may have &gt;120 teeth throughout their life. The teeth move anteriorly by constant absorption and deposition of alveolar bone; once they reach the most anterior portion of the oral cavity, the roots are absorbed, the crown falls out, and the alveolus closes. This is a form of polyphyodonty and has been referred to as continuous distomesial tooth replacement and horizontal tooth replacement.</w:t>
      </w:r>
    </w:p>
    <w:p w14:paraId="20E33BDC" w14:textId="77777777" w:rsidR="004F0598" w:rsidRPr="00C44C73" w:rsidRDefault="004F0598" w:rsidP="004F0598">
      <w:pPr>
        <w:numPr>
          <w:ilvl w:val="0"/>
          <w:numId w:val="6"/>
        </w:numPr>
        <w:textAlignment w:val="baseline"/>
        <w:rPr>
          <w:rFonts w:ascii="Calibri" w:eastAsia="Times New Roman" w:hAnsi="Calibri" w:cs="Calibri"/>
          <w:color w:val="000000"/>
          <w:sz w:val="22"/>
          <w:szCs w:val="22"/>
        </w:rPr>
      </w:pPr>
      <w:r w:rsidRPr="00C44C73">
        <w:rPr>
          <w:rFonts w:ascii="Calibri" w:eastAsia="Times New Roman" w:hAnsi="Calibri" w:cs="Calibri"/>
          <w:color w:val="000000"/>
          <w:sz w:val="22"/>
          <w:szCs w:val="22"/>
        </w:rPr>
        <w:t xml:space="preserve">Manatees have well-developed keratinized dental pads at the front of their mandibles, rostral to the </w:t>
      </w:r>
      <w:proofErr w:type="gramStart"/>
      <w:r w:rsidRPr="00C44C73">
        <w:rPr>
          <w:rFonts w:ascii="Calibri" w:eastAsia="Times New Roman" w:hAnsi="Calibri" w:cs="Calibri"/>
          <w:color w:val="000000"/>
          <w:sz w:val="22"/>
          <w:szCs w:val="22"/>
        </w:rPr>
        <w:t>cheek-teeth</w:t>
      </w:r>
      <w:proofErr w:type="gramEnd"/>
      <w:r w:rsidRPr="00C44C73">
        <w:rPr>
          <w:rFonts w:ascii="Calibri" w:eastAsia="Times New Roman" w:hAnsi="Calibri" w:cs="Calibri"/>
          <w:color w:val="000000"/>
          <w:sz w:val="22"/>
          <w:szCs w:val="22"/>
        </w:rPr>
        <w:t xml:space="preserve">. These heavily cornified pads provide a hard surface area to mechanically break down sea grasses during mastication and before transit to the </w:t>
      </w:r>
      <w:proofErr w:type="gramStart"/>
      <w:r w:rsidRPr="00C44C73">
        <w:rPr>
          <w:rFonts w:ascii="Calibri" w:eastAsia="Times New Roman" w:hAnsi="Calibri" w:cs="Calibri"/>
          <w:color w:val="000000"/>
          <w:sz w:val="22"/>
          <w:szCs w:val="22"/>
        </w:rPr>
        <w:t>cheek-teeth</w:t>
      </w:r>
      <w:proofErr w:type="gramEnd"/>
      <w:r w:rsidRPr="00C44C73">
        <w:rPr>
          <w:rFonts w:ascii="Calibri" w:eastAsia="Times New Roman" w:hAnsi="Calibri" w:cs="Calibri"/>
          <w:color w:val="000000"/>
          <w:sz w:val="22"/>
          <w:szCs w:val="22"/>
        </w:rPr>
        <w:t>. In addition, the upper lip and lower lip perioral bristle fields, located rostral to the inferior dental pad, collect and position sea grasses between the horny pad surfaces </w:t>
      </w:r>
    </w:p>
    <w:p w14:paraId="487C37FE" w14:textId="77777777" w:rsidR="004F0598" w:rsidRPr="00C44C73" w:rsidRDefault="004F0598" w:rsidP="004F0598">
      <w:pPr>
        <w:numPr>
          <w:ilvl w:val="0"/>
          <w:numId w:val="6"/>
        </w:numPr>
        <w:textAlignment w:val="baseline"/>
        <w:rPr>
          <w:rFonts w:ascii="Calibri" w:eastAsia="Times New Roman" w:hAnsi="Calibri" w:cs="Calibri"/>
          <w:color w:val="000000"/>
          <w:sz w:val="22"/>
          <w:szCs w:val="22"/>
        </w:rPr>
      </w:pPr>
      <w:r w:rsidRPr="00C44C73">
        <w:rPr>
          <w:rFonts w:ascii="Calibri" w:eastAsia="Times New Roman" w:hAnsi="Calibri" w:cs="Calibri"/>
          <w:color w:val="000000"/>
          <w:sz w:val="22"/>
          <w:szCs w:val="22"/>
        </w:rPr>
        <w:t>Two animals housed together developed fractures of the inferior dental pads. For animal 1, weekly trimming under behavioral husbandry was implemented because of the epithelium not healing appropriately. Dental pad trimmings were performed with either small surgical scissors or a number 11 scalpel with the animal positioned under behavioral control. Both animals had spontaneous healing of the dental pad in ~60d.</w:t>
      </w:r>
    </w:p>
    <w:p w14:paraId="607CF9A4" w14:textId="77777777" w:rsidR="004F0598" w:rsidRPr="00C44C73" w:rsidRDefault="004F0598" w:rsidP="004F0598">
      <w:pPr>
        <w:numPr>
          <w:ilvl w:val="0"/>
          <w:numId w:val="6"/>
        </w:numPr>
        <w:textAlignment w:val="baseline"/>
        <w:rPr>
          <w:rFonts w:ascii="Calibri" w:eastAsia="Times New Roman" w:hAnsi="Calibri" w:cs="Calibri"/>
          <w:color w:val="000000"/>
          <w:sz w:val="22"/>
          <w:szCs w:val="22"/>
        </w:rPr>
      </w:pPr>
      <w:r w:rsidRPr="00C44C73">
        <w:rPr>
          <w:rFonts w:ascii="Calibri" w:eastAsia="Times New Roman" w:hAnsi="Calibri" w:cs="Calibri"/>
          <w:color w:val="000000"/>
          <w:sz w:val="22"/>
          <w:szCs w:val="22"/>
        </w:rPr>
        <w:t>Several husbandry modifications were performed. All food items were tailored to minimize pressure points during mastication. Romaine and kale were offered as leaves only with the bases removed, and monkey biscuits were soaked in water before being fed. All enrichment and training food items (apples, beets, and sweet potato) were cut into very thin, small pieces or boiled so that they could be easily smashed. Enrichment items were examined to ensure the animals could not bite in a way that would increase pressure points on the dental pad. </w:t>
      </w:r>
    </w:p>
    <w:p w14:paraId="3581F7C6" w14:textId="77777777" w:rsidR="004F0598" w:rsidRPr="00C44C73" w:rsidRDefault="004F0598" w:rsidP="004F0598">
      <w:pPr>
        <w:numPr>
          <w:ilvl w:val="0"/>
          <w:numId w:val="6"/>
        </w:numPr>
        <w:textAlignment w:val="baseline"/>
        <w:rPr>
          <w:rFonts w:ascii="Calibri" w:eastAsia="Times New Roman" w:hAnsi="Calibri" w:cs="Calibri"/>
          <w:color w:val="000000"/>
          <w:sz w:val="22"/>
          <w:szCs w:val="22"/>
        </w:rPr>
      </w:pPr>
      <w:r w:rsidRPr="00C44C73">
        <w:rPr>
          <w:rFonts w:ascii="Calibri" w:eastAsia="Times New Roman" w:hAnsi="Calibri" w:cs="Calibri"/>
          <w:color w:val="000000"/>
          <w:sz w:val="22"/>
          <w:szCs w:val="22"/>
        </w:rPr>
        <w:t>The exact physiologic mechanism that resulted in the repair is uncertain, although it was hypothesized that the epithelial layers of the dental pad reattached.</w:t>
      </w:r>
    </w:p>
    <w:p w14:paraId="560B2FAF" w14:textId="77777777" w:rsidR="004F0598" w:rsidRPr="00C44C73" w:rsidRDefault="004F0598" w:rsidP="004F0598">
      <w:pPr>
        <w:rPr>
          <w:rFonts w:ascii="Times New Roman" w:eastAsia="Times New Roman" w:hAnsi="Times New Roman" w:cs="Times New Roman"/>
        </w:rPr>
      </w:pPr>
    </w:p>
    <w:p w14:paraId="063134BA" w14:textId="77777777" w:rsidR="004F0598" w:rsidRPr="00C44C73" w:rsidRDefault="004F0598" w:rsidP="004F0598">
      <w:pPr>
        <w:rPr>
          <w:rFonts w:ascii="Times New Roman" w:eastAsia="Times New Roman" w:hAnsi="Times New Roman" w:cs="Times New Roman"/>
        </w:rPr>
      </w:pPr>
      <w:r w:rsidRPr="00C44C73">
        <w:rPr>
          <w:rFonts w:ascii="Calibri" w:eastAsia="Times New Roman" w:hAnsi="Calibri" w:cs="Calibri"/>
          <w:color w:val="000000"/>
          <w:sz w:val="22"/>
          <w:szCs w:val="22"/>
          <w:bdr w:val="none" w:sz="0" w:space="0" w:color="auto" w:frame="1"/>
        </w:rPr>
        <w:fldChar w:fldCharType="begin"/>
      </w:r>
      <w:r w:rsidRPr="00C44C73">
        <w:rPr>
          <w:rFonts w:ascii="Calibri" w:eastAsia="Times New Roman" w:hAnsi="Calibri" w:cs="Calibri"/>
          <w:color w:val="000000"/>
          <w:sz w:val="22"/>
          <w:szCs w:val="22"/>
          <w:bdr w:val="none" w:sz="0" w:space="0" w:color="auto" w:frame="1"/>
        </w:rPr>
        <w:instrText xml:space="preserve"> INCLUDEPICTURE "https://lh7-rt.googleusercontent.com/docsz/AD_4nXcx_C46LDL2B9xkPMjKJBn98E2657ry1t3pIHXynessHTlRubJOeXP2T0OBWWIu4a2-lcR7Ru0mq9Xh5pUexjF58kPllpIJmEQPdZOOxqqWdrNefIii5Xvou2A6l6RRidYW4cCSpzYx-gdnq4ORkA0JbX-F?key=60u5FsWPlp3WsQ5neaPJHg" \* MERGEFORMATINET </w:instrText>
      </w:r>
      <w:r w:rsidRPr="00C44C73">
        <w:rPr>
          <w:rFonts w:ascii="Calibri" w:eastAsia="Times New Roman" w:hAnsi="Calibri" w:cs="Calibri"/>
          <w:color w:val="000000"/>
          <w:sz w:val="22"/>
          <w:szCs w:val="22"/>
          <w:bdr w:val="none" w:sz="0" w:space="0" w:color="auto" w:frame="1"/>
        </w:rPr>
        <w:fldChar w:fldCharType="separate"/>
      </w:r>
      <w:r w:rsidRPr="00C44C73">
        <w:rPr>
          <w:rFonts w:ascii="Calibri" w:eastAsia="Times New Roman" w:hAnsi="Calibri" w:cs="Calibri"/>
          <w:noProof/>
          <w:color w:val="000000"/>
          <w:sz w:val="22"/>
          <w:szCs w:val="22"/>
          <w:bdr w:val="none" w:sz="0" w:space="0" w:color="auto" w:frame="1"/>
        </w:rPr>
        <w:drawing>
          <wp:inline distT="0" distB="0" distL="0" distR="0" wp14:anchorId="25FD158D" wp14:editId="79307759">
            <wp:extent cx="5692140" cy="3606165"/>
            <wp:effectExtent l="0" t="0" r="0" b="635"/>
            <wp:docPr id="9752526" name="Picture 8" descr="A close-up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2526" name="Picture 2" descr="A close-up of a diagram&#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92140" cy="3606165"/>
                    </a:xfrm>
                    <a:prstGeom prst="rect">
                      <a:avLst/>
                    </a:prstGeom>
                    <a:noFill/>
                    <a:ln>
                      <a:noFill/>
                    </a:ln>
                  </pic:spPr>
                </pic:pic>
              </a:graphicData>
            </a:graphic>
          </wp:inline>
        </w:drawing>
      </w:r>
      <w:r w:rsidRPr="00C44C73">
        <w:rPr>
          <w:rFonts w:ascii="Calibri" w:eastAsia="Times New Roman" w:hAnsi="Calibri" w:cs="Calibri"/>
          <w:color w:val="000000"/>
          <w:sz w:val="22"/>
          <w:szCs w:val="22"/>
          <w:bdr w:val="none" w:sz="0" w:space="0" w:color="auto" w:frame="1"/>
        </w:rPr>
        <w:fldChar w:fldCharType="end"/>
      </w:r>
    </w:p>
    <w:p w14:paraId="28C0897B" w14:textId="77777777" w:rsidR="004F0598" w:rsidRPr="00C44C73" w:rsidRDefault="004F0598" w:rsidP="004F0598">
      <w:pPr>
        <w:rPr>
          <w:rFonts w:ascii="Times New Roman" w:eastAsia="Times New Roman" w:hAnsi="Times New Roman" w:cs="Times New Roman"/>
        </w:rPr>
      </w:pPr>
      <w:r w:rsidRPr="00C44C73">
        <w:rPr>
          <w:rFonts w:ascii="Calibri" w:eastAsia="Times New Roman" w:hAnsi="Calibri" w:cs="Calibri"/>
          <w:color w:val="000000"/>
          <w:sz w:val="22"/>
          <w:szCs w:val="22"/>
          <w:bdr w:val="none" w:sz="0" w:space="0" w:color="auto" w:frame="1"/>
        </w:rPr>
        <w:lastRenderedPageBreak/>
        <w:fldChar w:fldCharType="begin"/>
      </w:r>
      <w:r w:rsidRPr="00C44C73">
        <w:rPr>
          <w:rFonts w:ascii="Calibri" w:eastAsia="Times New Roman" w:hAnsi="Calibri" w:cs="Calibri"/>
          <w:color w:val="000000"/>
          <w:sz w:val="22"/>
          <w:szCs w:val="22"/>
          <w:bdr w:val="none" w:sz="0" w:space="0" w:color="auto" w:frame="1"/>
        </w:rPr>
        <w:instrText xml:space="preserve"> INCLUDEPICTURE "https://lh7-rt.googleusercontent.com/docsz/AD_4nXdIV2ycrBCVW_dsjcZQ2dN9PpHUL-FcEUvgLM8BBdU3dwKGxLsnQkkptWZLh-0KM1cIzsX63GwhIIn9nSQrBtQIoxpW_qslagpkQmIjFsZq7eZ9_jXXXgQWevVWB_sGNuPdgo-7yWXUYtZeD9ZCJv1fAr1q?key=60u5FsWPlp3WsQ5neaPJHg" \* MERGEFORMATINET </w:instrText>
      </w:r>
      <w:r w:rsidRPr="00C44C73">
        <w:rPr>
          <w:rFonts w:ascii="Calibri" w:eastAsia="Times New Roman" w:hAnsi="Calibri" w:cs="Calibri"/>
          <w:color w:val="000000"/>
          <w:sz w:val="22"/>
          <w:szCs w:val="22"/>
          <w:bdr w:val="none" w:sz="0" w:space="0" w:color="auto" w:frame="1"/>
        </w:rPr>
        <w:fldChar w:fldCharType="separate"/>
      </w:r>
      <w:r w:rsidRPr="00C44C73">
        <w:rPr>
          <w:rFonts w:ascii="Calibri" w:eastAsia="Times New Roman" w:hAnsi="Calibri" w:cs="Calibri"/>
          <w:noProof/>
          <w:color w:val="000000"/>
          <w:sz w:val="22"/>
          <w:szCs w:val="22"/>
          <w:bdr w:val="none" w:sz="0" w:space="0" w:color="auto" w:frame="1"/>
        </w:rPr>
        <w:drawing>
          <wp:inline distT="0" distB="0" distL="0" distR="0" wp14:anchorId="535F79DB" wp14:editId="10D2AF63">
            <wp:extent cx="5363210" cy="3976370"/>
            <wp:effectExtent l="0" t="0" r="0" b="0"/>
            <wp:docPr id="2130489535" name="Picture 9" descr="Close-up of a crack presen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89535" name="Picture 1" descr="Close-up of a crack presentati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63210" cy="3976370"/>
                    </a:xfrm>
                    <a:prstGeom prst="rect">
                      <a:avLst/>
                    </a:prstGeom>
                    <a:noFill/>
                    <a:ln>
                      <a:noFill/>
                    </a:ln>
                  </pic:spPr>
                </pic:pic>
              </a:graphicData>
            </a:graphic>
          </wp:inline>
        </w:drawing>
      </w:r>
      <w:r w:rsidRPr="00C44C73">
        <w:rPr>
          <w:rFonts w:ascii="Calibri" w:eastAsia="Times New Roman" w:hAnsi="Calibri" w:cs="Calibri"/>
          <w:color w:val="000000"/>
          <w:sz w:val="22"/>
          <w:szCs w:val="22"/>
          <w:bdr w:val="none" w:sz="0" w:space="0" w:color="auto" w:frame="1"/>
        </w:rPr>
        <w:fldChar w:fldCharType="end"/>
      </w:r>
    </w:p>
    <w:p w14:paraId="7D66F937" w14:textId="77777777" w:rsidR="004F0598" w:rsidRPr="00C44C73" w:rsidRDefault="004F0598" w:rsidP="004F0598">
      <w:pPr>
        <w:rPr>
          <w:rFonts w:ascii="Times New Roman" w:eastAsia="Times New Roman" w:hAnsi="Times New Roman" w:cs="Times New Roman"/>
        </w:rPr>
      </w:pPr>
    </w:p>
    <w:p w14:paraId="7273A265" w14:textId="77777777" w:rsidR="004F0598" w:rsidRPr="00C44C73" w:rsidRDefault="004F0598" w:rsidP="004F0598">
      <w:pPr>
        <w:rPr>
          <w:rFonts w:ascii="Times New Roman" w:eastAsia="Times New Roman" w:hAnsi="Times New Roman" w:cs="Times New Roman"/>
        </w:rPr>
      </w:pPr>
      <w:r w:rsidRPr="00C44C73">
        <w:rPr>
          <w:rFonts w:ascii="Calibri" w:eastAsia="Times New Roman" w:hAnsi="Calibri" w:cs="Calibri"/>
          <w:b/>
          <w:bCs/>
          <w:color w:val="000000"/>
          <w:sz w:val="22"/>
          <w:szCs w:val="22"/>
        </w:rPr>
        <w:t>Take-Home Message:</w:t>
      </w:r>
    </w:p>
    <w:p w14:paraId="592A00CA" w14:textId="77777777" w:rsidR="004F0598" w:rsidRPr="00C44C73" w:rsidRDefault="004F0598" w:rsidP="004F0598">
      <w:pPr>
        <w:numPr>
          <w:ilvl w:val="0"/>
          <w:numId w:val="7"/>
        </w:numPr>
        <w:textAlignment w:val="baseline"/>
        <w:rPr>
          <w:rFonts w:ascii="Calibri" w:eastAsia="Times New Roman" w:hAnsi="Calibri" w:cs="Calibri"/>
          <w:color w:val="000000"/>
          <w:sz w:val="22"/>
          <w:szCs w:val="22"/>
        </w:rPr>
      </w:pPr>
      <w:r w:rsidRPr="00C44C73">
        <w:rPr>
          <w:rFonts w:ascii="Calibri" w:eastAsia="Times New Roman" w:hAnsi="Calibri" w:cs="Calibri"/>
          <w:color w:val="000000"/>
          <w:sz w:val="22"/>
          <w:szCs w:val="22"/>
        </w:rPr>
        <w:t>Florida manatee dental pads fractures can spontaneously heal without the need for surgical intervention. Dental pad fractures in two manatees were managed with nutritional modifications, dental pad trimming, and vigilant monitoring through behavioral and husbandry training.</w:t>
      </w:r>
    </w:p>
    <w:p w14:paraId="3B6D2837" w14:textId="77777777" w:rsidR="004F0598" w:rsidRPr="00C44C73" w:rsidRDefault="004F0598" w:rsidP="004F0598">
      <w:pPr>
        <w:pBdr>
          <w:bottom w:val="single" w:sz="12" w:space="1" w:color="000000"/>
        </w:pBdr>
        <w:jc w:val="center"/>
        <w:rPr>
          <w:rFonts w:ascii="Times New Roman" w:eastAsia="Times New Roman" w:hAnsi="Times New Roman" w:cs="Times New Roman"/>
        </w:rPr>
      </w:pPr>
    </w:p>
    <w:p w14:paraId="65AC8FDC" w14:textId="77777777" w:rsidR="004F0598" w:rsidRPr="00C44C73" w:rsidRDefault="004F0598" w:rsidP="004F0598">
      <w:pPr>
        <w:rPr>
          <w:rFonts w:ascii="Times New Roman" w:eastAsia="Times New Roman" w:hAnsi="Times New Roman" w:cs="Times New Roman"/>
        </w:rPr>
      </w:pPr>
    </w:p>
    <w:p w14:paraId="2817C882" w14:textId="77777777" w:rsidR="004F0598" w:rsidRDefault="004F0598" w:rsidP="004F0598"/>
    <w:p w14:paraId="04977C87" w14:textId="77777777" w:rsidR="004F0598" w:rsidRDefault="004F0598" w:rsidP="004F0598">
      <w:pPr>
        <w:rPr>
          <w:sz w:val="20"/>
          <w:szCs w:val="20"/>
        </w:rPr>
      </w:pPr>
      <w:r>
        <w:rPr>
          <w:b/>
          <w:sz w:val="20"/>
          <w:szCs w:val="20"/>
        </w:rPr>
        <w:t>PRELIMINARY EVALUATION OF SYMMETRIC DIMETHYLARGININE AS A BIOMARKER OF RENAL INSUFFICIENCY IN WILD AND REHABILITATED FLORIDA MANATEES (</w:t>
      </w:r>
      <w:r>
        <w:rPr>
          <w:b/>
          <w:i/>
          <w:sz w:val="20"/>
          <w:szCs w:val="20"/>
        </w:rPr>
        <w:t>TRICHECHUS MANATUS LATIROSTRIS</w:t>
      </w:r>
      <w:r>
        <w:rPr>
          <w:b/>
          <w:sz w:val="20"/>
          <w:szCs w:val="20"/>
        </w:rPr>
        <w:t>)</w:t>
      </w:r>
    </w:p>
    <w:p w14:paraId="4290EC48" w14:textId="77777777" w:rsidR="004F0598" w:rsidRDefault="004F0598" w:rsidP="004F0598">
      <w:pPr>
        <w:rPr>
          <w:sz w:val="20"/>
          <w:szCs w:val="20"/>
        </w:rPr>
      </w:pPr>
    </w:p>
    <w:p w14:paraId="4CC56A8F" w14:textId="77777777" w:rsidR="004F0598" w:rsidRDefault="004F0598" w:rsidP="004F0598">
      <w:pPr>
        <w:rPr>
          <w:sz w:val="20"/>
          <w:szCs w:val="20"/>
        </w:rPr>
      </w:pPr>
      <w:r>
        <w:rPr>
          <w:sz w:val="20"/>
          <w:szCs w:val="20"/>
        </w:rPr>
        <w:t>Abstract: Currently, there are limited antemortem tests available to evaluate renal function in Florida manatees (</w:t>
      </w:r>
      <w:r>
        <w:rPr>
          <w:i/>
          <w:sz w:val="20"/>
          <w:szCs w:val="20"/>
        </w:rPr>
        <w:t xml:space="preserve">Trichechus manatus </w:t>
      </w:r>
      <w:proofErr w:type="spellStart"/>
      <w:r>
        <w:rPr>
          <w:i/>
          <w:sz w:val="20"/>
          <w:szCs w:val="20"/>
        </w:rPr>
        <w:t>latirostris</w:t>
      </w:r>
      <w:proofErr w:type="spellEnd"/>
      <w:r>
        <w:rPr>
          <w:sz w:val="20"/>
          <w:szCs w:val="20"/>
        </w:rPr>
        <w:t xml:space="preserve">). Although few reports of renal pathology in manatees exist in the veterinary literature, debilitated animals that present to rehabilitation centers are frequently dehydrated, may have sustained renal trauma secondary to watercraft injury, and may experience ischemic events related to coagulation disorders leading to renal compromise. </w:t>
      </w:r>
      <w:r>
        <w:rPr>
          <w:sz w:val="20"/>
          <w:szCs w:val="20"/>
          <w:highlight w:val="yellow"/>
        </w:rPr>
        <w:t>Clinicians remain limited to the analysis of blood urea nitrogen, creatinine levels, and urinalysis (if urine is obtained) to determine the extent of renal insufficiency, which may not accurately reflect renal function</w:t>
      </w:r>
      <w:r>
        <w:rPr>
          <w:sz w:val="20"/>
          <w:szCs w:val="20"/>
        </w:rPr>
        <w:t xml:space="preserve">. This poses a diagnostic challenge for clinicians in discerning how critical renal compromise is to the animal’s overall health and prognosis. For the first phase of this study, retrospective symmetric dimethylarginine </w:t>
      </w:r>
      <w:r>
        <w:rPr>
          <w:sz w:val="20"/>
          <w:szCs w:val="20"/>
          <w:highlight w:val="yellow"/>
        </w:rPr>
        <w:t xml:space="preserve">(SDMA) values were determined from banked serum or plasma samples from 14 wild Florida manatees that had been collected while the animals were under rehabilitation </w:t>
      </w:r>
      <w:r>
        <w:rPr>
          <w:sz w:val="20"/>
          <w:szCs w:val="20"/>
        </w:rPr>
        <w:t xml:space="preserve">in zoological institutions </w:t>
      </w:r>
      <w:r>
        <w:rPr>
          <w:sz w:val="20"/>
          <w:szCs w:val="20"/>
          <w:highlight w:val="yellow"/>
        </w:rPr>
        <w:t>prior to their deaths</w:t>
      </w:r>
      <w:r>
        <w:rPr>
          <w:sz w:val="20"/>
          <w:szCs w:val="20"/>
        </w:rPr>
        <w:t xml:space="preserve">. Values of SDMA for </w:t>
      </w:r>
      <w:r>
        <w:rPr>
          <w:sz w:val="20"/>
          <w:szCs w:val="20"/>
          <w:highlight w:val="yellow"/>
        </w:rPr>
        <w:t>nine samples from eight manatees with known renal disease</w:t>
      </w:r>
      <w:r>
        <w:rPr>
          <w:sz w:val="20"/>
          <w:szCs w:val="20"/>
        </w:rPr>
        <w:t>, as determined by</w:t>
      </w:r>
    </w:p>
    <w:p w14:paraId="4C95D913" w14:textId="77777777" w:rsidR="004F0598" w:rsidRDefault="004F0598" w:rsidP="004F0598">
      <w:pPr>
        <w:rPr>
          <w:sz w:val="20"/>
          <w:szCs w:val="20"/>
        </w:rPr>
      </w:pPr>
      <w:r>
        <w:rPr>
          <w:sz w:val="20"/>
          <w:szCs w:val="20"/>
        </w:rPr>
        <w:lastRenderedPageBreak/>
        <w:t xml:space="preserve">histopathology, were </w:t>
      </w:r>
      <w:r>
        <w:rPr>
          <w:sz w:val="20"/>
          <w:szCs w:val="20"/>
          <w:highlight w:val="yellow"/>
        </w:rPr>
        <w:t>compared to SDMA values for seven samples from six manatees with no reported renal lesions</w:t>
      </w:r>
      <w:r>
        <w:rPr>
          <w:sz w:val="20"/>
          <w:szCs w:val="20"/>
        </w:rPr>
        <w:t xml:space="preserve"> on histopathology. Values of </w:t>
      </w:r>
      <w:r>
        <w:rPr>
          <w:sz w:val="20"/>
          <w:szCs w:val="20"/>
          <w:highlight w:val="yellow"/>
        </w:rPr>
        <w:t xml:space="preserve">SDMA </w:t>
      </w:r>
      <w:r>
        <w:rPr>
          <w:sz w:val="20"/>
          <w:szCs w:val="20"/>
        </w:rPr>
        <w:t xml:space="preserve">from wild Florida manatees </w:t>
      </w:r>
      <w:r>
        <w:rPr>
          <w:sz w:val="20"/>
          <w:szCs w:val="20"/>
          <w:highlight w:val="yellow"/>
        </w:rPr>
        <w:t>with known renal disease</w:t>
      </w:r>
      <w:r>
        <w:rPr>
          <w:sz w:val="20"/>
          <w:szCs w:val="20"/>
        </w:rPr>
        <w:t xml:space="preserve"> (mean 33.56 lg/dl 6 13.15, P¼0.017) were </w:t>
      </w:r>
      <w:r>
        <w:rPr>
          <w:sz w:val="20"/>
          <w:szCs w:val="20"/>
          <w:highlight w:val="yellow"/>
        </w:rPr>
        <w:t>statistically significantly elevated</w:t>
      </w:r>
      <w:r>
        <w:rPr>
          <w:sz w:val="20"/>
          <w:szCs w:val="20"/>
        </w:rPr>
        <w:t xml:space="preserve"> when compared to SDMA values from manatees with no reported renal lesions (mean ¼ 18.71 lg/dl 6 6.9) on histopathology. For the second phase of the study, serum or plasma </w:t>
      </w:r>
      <w:r>
        <w:rPr>
          <w:sz w:val="20"/>
          <w:szCs w:val="20"/>
          <w:highlight w:val="yellow"/>
        </w:rPr>
        <w:t>samples were obtained from wild manatee populations</w:t>
      </w:r>
      <w:r>
        <w:rPr>
          <w:sz w:val="20"/>
          <w:szCs w:val="20"/>
        </w:rPr>
        <w:t xml:space="preserve"> from two geographically separate presumed-healthy wild manatee populations (n ¼ 57). Although the </w:t>
      </w:r>
      <w:r>
        <w:rPr>
          <w:sz w:val="20"/>
          <w:szCs w:val="20"/>
          <w:highlight w:val="yellow"/>
        </w:rPr>
        <w:t>upper limit was higher,</w:t>
      </w:r>
      <w:r>
        <w:rPr>
          <w:sz w:val="20"/>
          <w:szCs w:val="20"/>
        </w:rPr>
        <w:t xml:space="preserve"> serum SDMA concentrations from presumed-healthy wild manatees were </w:t>
      </w:r>
      <w:r>
        <w:rPr>
          <w:sz w:val="20"/>
          <w:szCs w:val="20"/>
          <w:highlight w:val="yellow"/>
        </w:rPr>
        <w:t>comparable to those reported in small animal and equine medicine at 5.88–16.97</w:t>
      </w:r>
      <w:r>
        <w:rPr>
          <w:sz w:val="20"/>
          <w:szCs w:val="20"/>
        </w:rPr>
        <w:t xml:space="preserve"> lg/dl.</w:t>
      </w:r>
    </w:p>
    <w:p w14:paraId="2BB581AC" w14:textId="77777777" w:rsidR="004F0598" w:rsidRDefault="004F0598" w:rsidP="004F0598">
      <w:pPr>
        <w:rPr>
          <w:sz w:val="20"/>
          <w:szCs w:val="20"/>
        </w:rPr>
      </w:pPr>
    </w:p>
    <w:p w14:paraId="6D3C802B" w14:textId="77777777" w:rsidR="004F0598" w:rsidRDefault="004F0598" w:rsidP="004F0598">
      <w:pPr>
        <w:rPr>
          <w:sz w:val="20"/>
          <w:szCs w:val="20"/>
        </w:rPr>
      </w:pPr>
      <w:r>
        <w:rPr>
          <w:sz w:val="20"/>
          <w:szCs w:val="20"/>
        </w:rPr>
        <w:t>Introduction:</w:t>
      </w:r>
    </w:p>
    <w:p w14:paraId="450DE5E9" w14:textId="77777777" w:rsidR="004F0598" w:rsidRDefault="004F0598" w:rsidP="004F0598">
      <w:pPr>
        <w:numPr>
          <w:ilvl w:val="0"/>
          <w:numId w:val="11"/>
        </w:numPr>
        <w:spacing w:line="276" w:lineRule="auto"/>
        <w:rPr>
          <w:sz w:val="20"/>
          <w:szCs w:val="20"/>
        </w:rPr>
      </w:pPr>
      <w:r>
        <w:rPr>
          <w:sz w:val="20"/>
          <w:szCs w:val="20"/>
        </w:rPr>
        <w:t>Florida manatees (</w:t>
      </w:r>
      <w:r>
        <w:rPr>
          <w:i/>
          <w:sz w:val="20"/>
          <w:szCs w:val="20"/>
        </w:rPr>
        <w:t xml:space="preserve">Trichechus manatus </w:t>
      </w:r>
      <w:proofErr w:type="spellStart"/>
      <w:r>
        <w:rPr>
          <w:i/>
          <w:sz w:val="20"/>
          <w:szCs w:val="20"/>
        </w:rPr>
        <w:t>latirostris</w:t>
      </w:r>
      <w:proofErr w:type="spellEnd"/>
      <w:r>
        <w:rPr>
          <w:sz w:val="20"/>
          <w:szCs w:val="20"/>
        </w:rPr>
        <w:t xml:space="preserve">) - </w:t>
      </w:r>
      <w:proofErr w:type="spellStart"/>
      <w:r>
        <w:rPr>
          <w:sz w:val="20"/>
          <w:szCs w:val="20"/>
        </w:rPr>
        <w:t>subsp</w:t>
      </w:r>
      <w:proofErr w:type="spellEnd"/>
      <w:r>
        <w:rPr>
          <w:sz w:val="20"/>
          <w:szCs w:val="20"/>
        </w:rPr>
        <w:t xml:space="preserve"> of West Indian manatee, through Caribbean and Gulf of Mexico</w:t>
      </w:r>
    </w:p>
    <w:p w14:paraId="4139F1E3" w14:textId="77777777" w:rsidR="004F0598" w:rsidRDefault="004F0598" w:rsidP="004F0598">
      <w:pPr>
        <w:numPr>
          <w:ilvl w:val="0"/>
          <w:numId w:val="11"/>
        </w:numPr>
        <w:spacing w:line="276" w:lineRule="auto"/>
        <w:rPr>
          <w:sz w:val="20"/>
          <w:szCs w:val="20"/>
        </w:rPr>
      </w:pPr>
      <w:r>
        <w:rPr>
          <w:sz w:val="20"/>
          <w:szCs w:val="20"/>
        </w:rPr>
        <w:t xml:space="preserve">Threatened - victims of watercraft injuries (+/- trauma to kidneys), cold stress syndrome, </w:t>
      </w:r>
      <w:proofErr w:type="spellStart"/>
      <w:r>
        <w:rPr>
          <w:sz w:val="20"/>
          <w:szCs w:val="20"/>
        </w:rPr>
        <w:t>brevetoxicosis</w:t>
      </w:r>
      <w:proofErr w:type="spellEnd"/>
      <w:r>
        <w:rPr>
          <w:sz w:val="20"/>
          <w:szCs w:val="20"/>
        </w:rPr>
        <w:t>, entanglements, dehydration, +/- ischemic events</w:t>
      </w:r>
    </w:p>
    <w:p w14:paraId="67016DED" w14:textId="77777777" w:rsidR="004F0598" w:rsidRDefault="004F0598" w:rsidP="004F0598">
      <w:pPr>
        <w:numPr>
          <w:ilvl w:val="0"/>
          <w:numId w:val="11"/>
        </w:numPr>
        <w:spacing w:line="276" w:lineRule="auto"/>
        <w:rPr>
          <w:sz w:val="20"/>
          <w:szCs w:val="20"/>
        </w:rPr>
      </w:pPr>
      <w:r>
        <w:rPr>
          <w:sz w:val="20"/>
          <w:szCs w:val="20"/>
        </w:rPr>
        <w:t>SDMA - validated measure of GFR in cats/dogs</w:t>
      </w:r>
    </w:p>
    <w:p w14:paraId="3CE2FC7B" w14:textId="77777777" w:rsidR="004F0598" w:rsidRDefault="004F0598" w:rsidP="004F0598">
      <w:pPr>
        <w:numPr>
          <w:ilvl w:val="1"/>
          <w:numId w:val="11"/>
        </w:numPr>
        <w:spacing w:line="276" w:lineRule="auto"/>
        <w:rPr>
          <w:sz w:val="20"/>
          <w:szCs w:val="20"/>
        </w:rPr>
      </w:pPr>
      <w:r>
        <w:rPr>
          <w:sz w:val="20"/>
          <w:szCs w:val="20"/>
        </w:rPr>
        <w:t xml:space="preserve">In cats detects renal </w:t>
      </w:r>
      <w:proofErr w:type="spellStart"/>
      <w:r>
        <w:rPr>
          <w:sz w:val="20"/>
          <w:szCs w:val="20"/>
        </w:rPr>
        <w:t>dz</w:t>
      </w:r>
      <w:proofErr w:type="spellEnd"/>
      <w:r>
        <w:rPr>
          <w:sz w:val="20"/>
          <w:szCs w:val="20"/>
        </w:rPr>
        <w:t xml:space="preserve"> on avg of 17 months before BUN/Cre; 9 months earlier for dogs and can detect insufficiency with as little as 20% loss of kidney </w:t>
      </w:r>
      <w:proofErr w:type="spellStart"/>
      <w:r>
        <w:rPr>
          <w:sz w:val="20"/>
          <w:szCs w:val="20"/>
        </w:rPr>
        <w:t>fxn</w:t>
      </w:r>
      <w:proofErr w:type="spellEnd"/>
    </w:p>
    <w:p w14:paraId="6AFCDD49" w14:textId="77777777" w:rsidR="004F0598" w:rsidRDefault="004F0598" w:rsidP="004F0598">
      <w:pPr>
        <w:rPr>
          <w:sz w:val="20"/>
          <w:szCs w:val="20"/>
        </w:rPr>
      </w:pPr>
      <w:r>
        <w:rPr>
          <w:sz w:val="20"/>
          <w:szCs w:val="20"/>
        </w:rPr>
        <w:t>Points of Study:</w:t>
      </w:r>
    </w:p>
    <w:p w14:paraId="01C23B39" w14:textId="77777777" w:rsidR="004F0598" w:rsidRDefault="004F0598" w:rsidP="004F0598">
      <w:pPr>
        <w:numPr>
          <w:ilvl w:val="0"/>
          <w:numId w:val="11"/>
        </w:numPr>
        <w:spacing w:line="276" w:lineRule="auto"/>
        <w:rPr>
          <w:sz w:val="20"/>
          <w:szCs w:val="20"/>
        </w:rPr>
      </w:pPr>
      <w:r>
        <w:rPr>
          <w:sz w:val="20"/>
          <w:szCs w:val="20"/>
        </w:rPr>
        <w:t xml:space="preserve">Phase 1 - n=17 retrospective samples from sick rehab animals, divided into known renal </w:t>
      </w:r>
      <w:proofErr w:type="spellStart"/>
      <w:r>
        <w:rPr>
          <w:sz w:val="20"/>
          <w:szCs w:val="20"/>
        </w:rPr>
        <w:t>dz</w:t>
      </w:r>
      <w:proofErr w:type="spellEnd"/>
      <w:r>
        <w:rPr>
          <w:sz w:val="20"/>
          <w:szCs w:val="20"/>
        </w:rPr>
        <w:t xml:space="preserve"> or none, sent for SDMA levels</w:t>
      </w:r>
    </w:p>
    <w:p w14:paraId="1366BD5F" w14:textId="77777777" w:rsidR="004F0598" w:rsidRDefault="004F0598" w:rsidP="004F0598">
      <w:pPr>
        <w:numPr>
          <w:ilvl w:val="0"/>
          <w:numId w:val="11"/>
        </w:numPr>
        <w:spacing w:line="276" w:lineRule="auto"/>
        <w:rPr>
          <w:sz w:val="20"/>
          <w:szCs w:val="20"/>
        </w:rPr>
      </w:pPr>
      <w:r>
        <w:rPr>
          <w:sz w:val="20"/>
          <w:szCs w:val="20"/>
        </w:rPr>
        <w:t>Phase 2 - n=57 from 2 wild populations in FL, non-calves</w:t>
      </w:r>
    </w:p>
    <w:p w14:paraId="677B99D0" w14:textId="77777777" w:rsidR="004F0598" w:rsidRDefault="004F0598" w:rsidP="004F0598">
      <w:pPr>
        <w:numPr>
          <w:ilvl w:val="0"/>
          <w:numId w:val="11"/>
        </w:numPr>
        <w:spacing w:line="276" w:lineRule="auto"/>
        <w:rPr>
          <w:sz w:val="20"/>
          <w:szCs w:val="20"/>
        </w:rPr>
      </w:pPr>
      <w:r>
        <w:rPr>
          <w:sz w:val="20"/>
          <w:szCs w:val="20"/>
        </w:rPr>
        <w:t>BUN/</w:t>
      </w:r>
      <w:proofErr w:type="spellStart"/>
      <w:r>
        <w:rPr>
          <w:sz w:val="20"/>
          <w:szCs w:val="20"/>
        </w:rPr>
        <w:t>creat</w:t>
      </w:r>
      <w:proofErr w:type="spellEnd"/>
      <w:r>
        <w:rPr>
          <w:sz w:val="20"/>
          <w:szCs w:val="20"/>
        </w:rPr>
        <w:t xml:space="preserve"> also measured in both phases when available</w:t>
      </w:r>
    </w:p>
    <w:p w14:paraId="0BC8A92A" w14:textId="77777777" w:rsidR="004F0598" w:rsidRDefault="004F0598" w:rsidP="004F0598">
      <w:pPr>
        <w:numPr>
          <w:ilvl w:val="1"/>
          <w:numId w:val="11"/>
        </w:numPr>
        <w:spacing w:line="276" w:lineRule="auto"/>
        <w:rPr>
          <w:sz w:val="20"/>
          <w:szCs w:val="20"/>
        </w:rPr>
      </w:pPr>
      <w:r>
        <w:rPr>
          <w:sz w:val="20"/>
          <w:szCs w:val="20"/>
        </w:rPr>
        <w:t>Blood from brachial plexus of pectoral flippers</w:t>
      </w:r>
    </w:p>
    <w:p w14:paraId="2C0E799D" w14:textId="77777777" w:rsidR="004F0598" w:rsidRDefault="004F0598" w:rsidP="004F0598">
      <w:pPr>
        <w:numPr>
          <w:ilvl w:val="0"/>
          <w:numId w:val="11"/>
        </w:numPr>
        <w:spacing w:line="276" w:lineRule="auto"/>
        <w:rPr>
          <w:sz w:val="20"/>
          <w:szCs w:val="20"/>
        </w:rPr>
      </w:pPr>
      <w:r>
        <w:rPr>
          <w:sz w:val="20"/>
          <w:szCs w:val="20"/>
        </w:rPr>
        <w:t xml:space="preserve">2 cases also compared Cre and SDMA in clinical context for trends (both had high </w:t>
      </w:r>
      <w:proofErr w:type="spellStart"/>
      <w:r>
        <w:rPr>
          <w:sz w:val="20"/>
          <w:szCs w:val="20"/>
        </w:rPr>
        <w:t>creat</w:t>
      </w:r>
      <w:proofErr w:type="spellEnd"/>
      <w:r>
        <w:rPr>
          <w:sz w:val="20"/>
          <w:szCs w:val="20"/>
        </w:rPr>
        <w:t xml:space="preserve"> at start)</w:t>
      </w:r>
    </w:p>
    <w:p w14:paraId="425C4F35" w14:textId="77777777" w:rsidR="004F0598" w:rsidRDefault="004F0598" w:rsidP="004F0598">
      <w:pPr>
        <w:numPr>
          <w:ilvl w:val="0"/>
          <w:numId w:val="11"/>
        </w:numPr>
        <w:spacing w:line="276" w:lineRule="auto"/>
        <w:rPr>
          <w:sz w:val="20"/>
          <w:szCs w:val="20"/>
        </w:rPr>
      </w:pPr>
      <w:r>
        <w:rPr>
          <w:sz w:val="20"/>
          <w:szCs w:val="20"/>
        </w:rPr>
        <w:t xml:space="preserve">SDMA statistically higher in renal </w:t>
      </w:r>
      <w:proofErr w:type="spellStart"/>
      <w:r>
        <w:rPr>
          <w:sz w:val="20"/>
          <w:szCs w:val="20"/>
        </w:rPr>
        <w:t>dz</w:t>
      </w:r>
      <w:proofErr w:type="spellEnd"/>
      <w:r>
        <w:rPr>
          <w:sz w:val="20"/>
          <w:szCs w:val="20"/>
        </w:rPr>
        <w:t xml:space="preserve"> </w:t>
      </w:r>
      <w:proofErr w:type="gramStart"/>
      <w:r>
        <w:rPr>
          <w:sz w:val="20"/>
          <w:szCs w:val="20"/>
        </w:rPr>
        <w:t>animals</w:t>
      </w:r>
      <w:proofErr w:type="gramEnd"/>
      <w:r>
        <w:rPr>
          <w:sz w:val="20"/>
          <w:szCs w:val="20"/>
        </w:rPr>
        <w:t xml:space="preserve"> vs not (33 vs 18), while no stat sig for BUN/Cre in renal </w:t>
      </w:r>
      <w:proofErr w:type="spellStart"/>
      <w:r>
        <w:rPr>
          <w:sz w:val="20"/>
          <w:szCs w:val="20"/>
        </w:rPr>
        <w:t>dz</w:t>
      </w:r>
      <w:proofErr w:type="spellEnd"/>
      <w:r>
        <w:rPr>
          <w:sz w:val="20"/>
          <w:szCs w:val="20"/>
        </w:rPr>
        <w:t xml:space="preserve"> vs not renal </w:t>
      </w:r>
      <w:proofErr w:type="spellStart"/>
      <w:r>
        <w:rPr>
          <w:sz w:val="20"/>
          <w:szCs w:val="20"/>
        </w:rPr>
        <w:t>dz</w:t>
      </w:r>
      <w:proofErr w:type="spellEnd"/>
    </w:p>
    <w:p w14:paraId="6A576F8E" w14:textId="77777777" w:rsidR="004F0598" w:rsidRDefault="004F0598" w:rsidP="004F0598">
      <w:pPr>
        <w:numPr>
          <w:ilvl w:val="0"/>
          <w:numId w:val="11"/>
        </w:numPr>
        <w:spacing w:line="276" w:lineRule="auto"/>
        <w:rPr>
          <w:sz w:val="20"/>
          <w:szCs w:val="20"/>
        </w:rPr>
      </w:pPr>
      <w:r>
        <w:rPr>
          <w:sz w:val="20"/>
          <w:szCs w:val="20"/>
        </w:rPr>
        <w:t xml:space="preserve">In example of 2 cases, SDMA was elevated for both before creatinine was elevated - may indicate that SDMA is more sensitive for renal disease (if truly renal </w:t>
      </w:r>
      <w:proofErr w:type="spellStart"/>
      <w:r>
        <w:rPr>
          <w:sz w:val="20"/>
          <w:szCs w:val="20"/>
        </w:rPr>
        <w:t>insuff</w:t>
      </w:r>
      <w:proofErr w:type="spellEnd"/>
      <w:r>
        <w:rPr>
          <w:sz w:val="20"/>
          <w:szCs w:val="20"/>
        </w:rPr>
        <w:t>)</w:t>
      </w:r>
    </w:p>
    <w:p w14:paraId="375F897B" w14:textId="77777777" w:rsidR="004F0598" w:rsidRDefault="004F0598" w:rsidP="004F0598">
      <w:pPr>
        <w:numPr>
          <w:ilvl w:val="0"/>
          <w:numId w:val="11"/>
        </w:numPr>
        <w:spacing w:line="276" w:lineRule="auto"/>
        <w:rPr>
          <w:b/>
          <w:sz w:val="20"/>
          <w:szCs w:val="20"/>
        </w:rPr>
      </w:pPr>
      <w:r>
        <w:rPr>
          <w:b/>
          <w:sz w:val="20"/>
          <w:szCs w:val="20"/>
        </w:rPr>
        <w:t>Blood urea nitrogen and creatinine appear to be insensitive and nonspecific indicators of renal function in manatees and do not account for prerenal and/or extrarenal factors.</w:t>
      </w:r>
    </w:p>
    <w:p w14:paraId="672A06ED" w14:textId="77777777" w:rsidR="004F0598" w:rsidRDefault="004F0598" w:rsidP="004F0598">
      <w:pPr>
        <w:numPr>
          <w:ilvl w:val="0"/>
          <w:numId w:val="11"/>
        </w:numPr>
        <w:spacing w:line="276" w:lineRule="auto"/>
        <w:rPr>
          <w:sz w:val="20"/>
          <w:szCs w:val="20"/>
        </w:rPr>
      </w:pPr>
      <w:r>
        <w:rPr>
          <w:sz w:val="20"/>
          <w:szCs w:val="20"/>
        </w:rPr>
        <w:t>One study with manatees showed normal BUN/</w:t>
      </w:r>
      <w:proofErr w:type="spellStart"/>
      <w:r>
        <w:rPr>
          <w:sz w:val="20"/>
          <w:szCs w:val="20"/>
        </w:rPr>
        <w:t>Creat</w:t>
      </w:r>
      <w:proofErr w:type="spellEnd"/>
      <w:r>
        <w:rPr>
          <w:sz w:val="20"/>
          <w:szCs w:val="20"/>
        </w:rPr>
        <w:t xml:space="preserve"> despite nephrolithiasis and pyelonephritis</w:t>
      </w:r>
    </w:p>
    <w:p w14:paraId="5258AABB" w14:textId="77777777" w:rsidR="004F0598" w:rsidRDefault="004F0598" w:rsidP="004F0598">
      <w:pPr>
        <w:numPr>
          <w:ilvl w:val="0"/>
          <w:numId w:val="11"/>
        </w:numPr>
        <w:spacing w:line="276" w:lineRule="auto"/>
        <w:rPr>
          <w:sz w:val="20"/>
          <w:szCs w:val="20"/>
        </w:rPr>
      </w:pPr>
      <w:r>
        <w:rPr>
          <w:sz w:val="20"/>
          <w:szCs w:val="20"/>
        </w:rPr>
        <w:t xml:space="preserve">Another study revealed </w:t>
      </w:r>
      <w:proofErr w:type="spellStart"/>
      <w:r>
        <w:rPr>
          <w:sz w:val="20"/>
          <w:szCs w:val="20"/>
        </w:rPr>
        <w:t>creat</w:t>
      </w:r>
      <w:proofErr w:type="spellEnd"/>
      <w:r>
        <w:rPr>
          <w:sz w:val="20"/>
          <w:szCs w:val="20"/>
        </w:rPr>
        <w:t xml:space="preserve"> can increase significantly with low food intake, change to food, salinity of environment when fasting</w:t>
      </w:r>
    </w:p>
    <w:p w14:paraId="2E9AB2B5" w14:textId="77777777" w:rsidR="004F0598" w:rsidRDefault="004F0598" w:rsidP="004F0598">
      <w:pPr>
        <w:numPr>
          <w:ilvl w:val="0"/>
          <w:numId w:val="11"/>
        </w:numPr>
        <w:spacing w:line="276" w:lineRule="auto"/>
        <w:rPr>
          <w:sz w:val="20"/>
          <w:szCs w:val="20"/>
        </w:rPr>
      </w:pPr>
      <w:r>
        <w:rPr>
          <w:sz w:val="20"/>
          <w:szCs w:val="20"/>
        </w:rPr>
        <w:t>UA baseline recently reported in Antillean manatees (no other species of manatee)</w:t>
      </w:r>
    </w:p>
    <w:p w14:paraId="7FC69D5F" w14:textId="77777777" w:rsidR="004F0598" w:rsidRDefault="004F0598" w:rsidP="004F0598">
      <w:pPr>
        <w:numPr>
          <w:ilvl w:val="0"/>
          <w:numId w:val="11"/>
        </w:numPr>
        <w:spacing w:line="276" w:lineRule="auto"/>
        <w:rPr>
          <w:sz w:val="20"/>
          <w:szCs w:val="20"/>
        </w:rPr>
      </w:pPr>
      <w:r>
        <w:rPr>
          <w:b/>
          <w:sz w:val="20"/>
          <w:szCs w:val="20"/>
        </w:rPr>
        <w:t>Calves had higher SDMA values (which is consistent</w:t>
      </w:r>
      <w:r>
        <w:rPr>
          <w:sz w:val="20"/>
          <w:szCs w:val="20"/>
        </w:rPr>
        <w:t xml:space="preserve"> with canine, feline, equine neonates)</w:t>
      </w:r>
    </w:p>
    <w:p w14:paraId="01903AA1" w14:textId="77777777" w:rsidR="004F0598" w:rsidRDefault="004F0598" w:rsidP="004F0598">
      <w:pPr>
        <w:numPr>
          <w:ilvl w:val="0"/>
          <w:numId w:val="11"/>
        </w:numPr>
        <w:spacing w:line="276" w:lineRule="auto"/>
        <w:rPr>
          <w:sz w:val="20"/>
          <w:szCs w:val="20"/>
        </w:rPr>
      </w:pPr>
      <w:r>
        <w:rPr>
          <w:sz w:val="20"/>
          <w:szCs w:val="20"/>
        </w:rPr>
        <w:t>Assay for SDMA in this paper has not been validated</w:t>
      </w:r>
    </w:p>
    <w:p w14:paraId="1525E25F" w14:textId="77777777" w:rsidR="004F0598" w:rsidRDefault="004F0598" w:rsidP="004F0598">
      <w:pPr>
        <w:numPr>
          <w:ilvl w:val="0"/>
          <w:numId w:val="11"/>
        </w:numPr>
        <w:spacing w:line="276" w:lineRule="auto"/>
        <w:rPr>
          <w:sz w:val="20"/>
          <w:szCs w:val="20"/>
        </w:rPr>
      </w:pPr>
      <w:r>
        <w:rPr>
          <w:sz w:val="20"/>
          <w:szCs w:val="20"/>
        </w:rPr>
        <w:t xml:space="preserve">SDMA is mediator of inflammation &amp; impaired immune </w:t>
      </w:r>
      <w:proofErr w:type="spellStart"/>
      <w:r>
        <w:rPr>
          <w:sz w:val="20"/>
          <w:szCs w:val="20"/>
        </w:rPr>
        <w:t>fxn</w:t>
      </w:r>
      <w:proofErr w:type="spellEnd"/>
      <w:r>
        <w:rPr>
          <w:sz w:val="20"/>
          <w:szCs w:val="20"/>
        </w:rPr>
        <w:t>, increases TNF, IL6 in monocytes</w:t>
      </w:r>
    </w:p>
    <w:p w14:paraId="696A0C9C" w14:textId="77777777" w:rsidR="004F0598" w:rsidRDefault="004F0598" w:rsidP="004F0598">
      <w:pPr>
        <w:rPr>
          <w:sz w:val="20"/>
          <w:szCs w:val="20"/>
        </w:rPr>
      </w:pPr>
    </w:p>
    <w:p w14:paraId="2472A78F" w14:textId="77777777" w:rsidR="004F0598" w:rsidRDefault="004F0598" w:rsidP="004F0598">
      <w:pPr>
        <w:ind w:left="-180"/>
        <w:rPr>
          <w:sz w:val="20"/>
          <w:szCs w:val="20"/>
        </w:rPr>
      </w:pPr>
    </w:p>
    <w:p w14:paraId="5D92E3E0" w14:textId="77777777" w:rsidR="004F0598" w:rsidRDefault="004F0598" w:rsidP="004F0598">
      <w:pPr>
        <w:ind w:left="-180"/>
        <w:rPr>
          <w:sz w:val="20"/>
          <w:szCs w:val="20"/>
        </w:rPr>
      </w:pPr>
    </w:p>
    <w:p w14:paraId="673CFACA" w14:textId="77777777" w:rsidR="004F0598" w:rsidRDefault="004F0598" w:rsidP="004F0598">
      <w:pPr>
        <w:ind w:left="-180"/>
        <w:rPr>
          <w:sz w:val="20"/>
          <w:szCs w:val="20"/>
        </w:rPr>
      </w:pPr>
    </w:p>
    <w:p w14:paraId="296DFF3C" w14:textId="77777777" w:rsidR="004F0598" w:rsidRDefault="004F0598" w:rsidP="004F0598">
      <w:pPr>
        <w:ind w:left="-180"/>
        <w:rPr>
          <w:sz w:val="20"/>
          <w:szCs w:val="20"/>
        </w:rPr>
      </w:pPr>
    </w:p>
    <w:p w14:paraId="7BE57131" w14:textId="77777777" w:rsidR="004F0598" w:rsidRDefault="004F0598" w:rsidP="004F0598">
      <w:pPr>
        <w:ind w:left="-180"/>
        <w:rPr>
          <w:sz w:val="20"/>
          <w:szCs w:val="20"/>
        </w:rPr>
      </w:pPr>
    </w:p>
    <w:p w14:paraId="2C34612F" w14:textId="77777777" w:rsidR="004F0598" w:rsidRDefault="004F0598" w:rsidP="004F0598">
      <w:pPr>
        <w:ind w:left="-180"/>
        <w:rPr>
          <w:sz w:val="20"/>
          <w:szCs w:val="20"/>
        </w:rPr>
      </w:pPr>
    </w:p>
    <w:p w14:paraId="70810FA1" w14:textId="77777777" w:rsidR="004F0598" w:rsidRDefault="004F0598" w:rsidP="004F0598">
      <w:pPr>
        <w:ind w:left="-180"/>
        <w:rPr>
          <w:sz w:val="20"/>
          <w:szCs w:val="20"/>
        </w:rPr>
      </w:pPr>
    </w:p>
    <w:p w14:paraId="22417F3D" w14:textId="77777777" w:rsidR="004F0598" w:rsidRDefault="004F0598" w:rsidP="004F0598">
      <w:pPr>
        <w:ind w:left="-180"/>
        <w:rPr>
          <w:sz w:val="20"/>
          <w:szCs w:val="20"/>
        </w:rPr>
      </w:pPr>
    </w:p>
    <w:p w14:paraId="45BB026E" w14:textId="77777777" w:rsidR="004F0598" w:rsidRDefault="004F0598" w:rsidP="004F0598">
      <w:pPr>
        <w:ind w:left="-180"/>
        <w:rPr>
          <w:sz w:val="20"/>
          <w:szCs w:val="20"/>
        </w:rPr>
      </w:pPr>
    </w:p>
    <w:p w14:paraId="32590370" w14:textId="77777777" w:rsidR="004F0598" w:rsidRDefault="004F0598" w:rsidP="004F0598">
      <w:pPr>
        <w:ind w:left="-180"/>
        <w:rPr>
          <w:sz w:val="20"/>
          <w:szCs w:val="20"/>
        </w:rPr>
      </w:pPr>
    </w:p>
    <w:p w14:paraId="1BE5B27C" w14:textId="77777777" w:rsidR="004F0598" w:rsidRDefault="004F0598" w:rsidP="004F0598">
      <w:pPr>
        <w:ind w:left="-180"/>
        <w:rPr>
          <w:sz w:val="20"/>
          <w:szCs w:val="20"/>
        </w:rPr>
      </w:pPr>
    </w:p>
    <w:p w14:paraId="55FD0DDF" w14:textId="77777777" w:rsidR="004F0598" w:rsidRDefault="004F0598" w:rsidP="004F0598">
      <w:pPr>
        <w:ind w:left="-180"/>
        <w:rPr>
          <w:sz w:val="20"/>
          <w:szCs w:val="20"/>
        </w:rPr>
      </w:pPr>
    </w:p>
    <w:p w14:paraId="680A0125" w14:textId="77777777" w:rsidR="004F0598" w:rsidRDefault="004F0598" w:rsidP="004F0598">
      <w:pPr>
        <w:ind w:left="-180"/>
        <w:rPr>
          <w:sz w:val="20"/>
          <w:szCs w:val="20"/>
        </w:rPr>
      </w:pPr>
    </w:p>
    <w:p w14:paraId="62DAE02D" w14:textId="77777777" w:rsidR="004F0598" w:rsidRDefault="004F0598" w:rsidP="004F0598">
      <w:pPr>
        <w:ind w:left="-180"/>
        <w:rPr>
          <w:sz w:val="20"/>
          <w:szCs w:val="20"/>
        </w:rPr>
      </w:pPr>
    </w:p>
    <w:p w14:paraId="01D7023B" w14:textId="77777777" w:rsidR="004F0598" w:rsidRDefault="004F0598" w:rsidP="004F0598">
      <w:pPr>
        <w:ind w:left="-180"/>
        <w:rPr>
          <w:sz w:val="20"/>
          <w:szCs w:val="20"/>
        </w:rPr>
      </w:pPr>
    </w:p>
    <w:p w14:paraId="307D49C8" w14:textId="77777777" w:rsidR="004F0598" w:rsidRDefault="004F0598" w:rsidP="004F0598">
      <w:pPr>
        <w:ind w:left="-180"/>
        <w:rPr>
          <w:sz w:val="20"/>
          <w:szCs w:val="20"/>
        </w:rPr>
      </w:pPr>
    </w:p>
    <w:p w14:paraId="518447E9" w14:textId="77777777" w:rsidR="004F0598" w:rsidRDefault="004F0598" w:rsidP="004F0598">
      <w:pPr>
        <w:ind w:left="-180"/>
        <w:rPr>
          <w:sz w:val="20"/>
          <w:szCs w:val="20"/>
        </w:rPr>
      </w:pPr>
    </w:p>
    <w:p w14:paraId="5AC7A6B6" w14:textId="77777777" w:rsidR="004F0598" w:rsidRDefault="004F0598" w:rsidP="004F0598">
      <w:pPr>
        <w:ind w:left="-180"/>
        <w:rPr>
          <w:sz w:val="20"/>
          <w:szCs w:val="20"/>
        </w:rPr>
      </w:pPr>
    </w:p>
    <w:p w14:paraId="385371A1" w14:textId="77777777" w:rsidR="004F0598" w:rsidRDefault="004F0598" w:rsidP="004F0598">
      <w:pPr>
        <w:ind w:left="-180"/>
        <w:rPr>
          <w:sz w:val="20"/>
          <w:szCs w:val="20"/>
        </w:rPr>
      </w:pPr>
    </w:p>
    <w:p w14:paraId="743AFB56" w14:textId="77777777" w:rsidR="004F0598" w:rsidRDefault="004F0598" w:rsidP="004F0598">
      <w:pPr>
        <w:ind w:left="-180"/>
        <w:rPr>
          <w:sz w:val="20"/>
          <w:szCs w:val="20"/>
        </w:rPr>
      </w:pPr>
    </w:p>
    <w:p w14:paraId="15C907E2" w14:textId="77777777" w:rsidR="004F0598" w:rsidRDefault="004F0598" w:rsidP="004F0598">
      <w:pPr>
        <w:ind w:left="-180"/>
        <w:rPr>
          <w:sz w:val="20"/>
          <w:szCs w:val="20"/>
        </w:rPr>
      </w:pPr>
    </w:p>
    <w:p w14:paraId="5C402378" w14:textId="77777777" w:rsidR="004F0598" w:rsidRDefault="004F0598" w:rsidP="004F0598">
      <w:pPr>
        <w:ind w:left="-180"/>
        <w:rPr>
          <w:sz w:val="20"/>
          <w:szCs w:val="20"/>
        </w:rPr>
      </w:pPr>
    </w:p>
    <w:p w14:paraId="239D9F8B" w14:textId="77777777" w:rsidR="004F0598" w:rsidRDefault="004F0598" w:rsidP="004F0598">
      <w:pPr>
        <w:ind w:left="-180"/>
        <w:rPr>
          <w:sz w:val="20"/>
          <w:szCs w:val="20"/>
        </w:rPr>
      </w:pPr>
    </w:p>
    <w:p w14:paraId="70FE4F04" w14:textId="77777777" w:rsidR="004F0598" w:rsidRDefault="004F0598" w:rsidP="004F0598">
      <w:pPr>
        <w:ind w:left="-180"/>
        <w:rPr>
          <w:sz w:val="20"/>
          <w:szCs w:val="20"/>
        </w:rPr>
      </w:pPr>
    </w:p>
    <w:p w14:paraId="672A3D25" w14:textId="77777777" w:rsidR="004F0598" w:rsidRDefault="004F0598" w:rsidP="004F0598">
      <w:pPr>
        <w:ind w:left="-180"/>
        <w:rPr>
          <w:sz w:val="20"/>
          <w:szCs w:val="20"/>
        </w:rPr>
      </w:pPr>
    </w:p>
    <w:p w14:paraId="5A789579" w14:textId="77777777" w:rsidR="004F0598" w:rsidRDefault="004F0598" w:rsidP="004F0598">
      <w:pPr>
        <w:ind w:left="-180"/>
        <w:rPr>
          <w:sz w:val="20"/>
          <w:szCs w:val="20"/>
        </w:rPr>
      </w:pPr>
    </w:p>
    <w:p w14:paraId="5F0B2569" w14:textId="77777777" w:rsidR="004F0598" w:rsidRDefault="004F0598" w:rsidP="004F0598">
      <w:pPr>
        <w:ind w:left="-180"/>
        <w:rPr>
          <w:sz w:val="20"/>
          <w:szCs w:val="20"/>
        </w:rPr>
      </w:pPr>
    </w:p>
    <w:p w14:paraId="49A720E9" w14:textId="77777777" w:rsidR="004F0598" w:rsidRDefault="004F0598" w:rsidP="004F0598">
      <w:pPr>
        <w:ind w:left="-180"/>
        <w:rPr>
          <w:sz w:val="20"/>
          <w:szCs w:val="20"/>
        </w:rPr>
      </w:pPr>
    </w:p>
    <w:p w14:paraId="2BA65679" w14:textId="77777777" w:rsidR="004F0598" w:rsidRDefault="004F0598" w:rsidP="004F0598">
      <w:pPr>
        <w:ind w:left="-180"/>
        <w:rPr>
          <w:sz w:val="20"/>
          <w:szCs w:val="20"/>
        </w:rPr>
      </w:pPr>
    </w:p>
    <w:p w14:paraId="275032E8" w14:textId="77777777" w:rsidR="004F0598" w:rsidRDefault="004F0598" w:rsidP="004F0598">
      <w:pPr>
        <w:ind w:left="-180"/>
        <w:rPr>
          <w:sz w:val="20"/>
          <w:szCs w:val="20"/>
        </w:rPr>
      </w:pPr>
    </w:p>
    <w:p w14:paraId="4ABDA4AE" w14:textId="77777777" w:rsidR="004F0598" w:rsidRDefault="004F0598" w:rsidP="004F0598">
      <w:pPr>
        <w:ind w:left="-180"/>
        <w:rPr>
          <w:sz w:val="20"/>
          <w:szCs w:val="20"/>
        </w:rPr>
      </w:pPr>
    </w:p>
    <w:p w14:paraId="68637C1A" w14:textId="77777777" w:rsidR="004F0598" w:rsidRDefault="004F0598" w:rsidP="004F0598">
      <w:pPr>
        <w:ind w:left="-180"/>
        <w:rPr>
          <w:sz w:val="20"/>
          <w:szCs w:val="20"/>
        </w:rPr>
      </w:pPr>
    </w:p>
    <w:p w14:paraId="4B9CE9EE" w14:textId="77777777" w:rsidR="004F0598" w:rsidRDefault="004F0598" w:rsidP="004F0598">
      <w:pPr>
        <w:ind w:left="-180"/>
        <w:rPr>
          <w:sz w:val="20"/>
          <w:szCs w:val="20"/>
        </w:rPr>
      </w:pPr>
    </w:p>
    <w:p w14:paraId="5DC72C4C" w14:textId="77777777" w:rsidR="004F0598" w:rsidRDefault="004F0598" w:rsidP="004F0598">
      <w:pPr>
        <w:ind w:left="-180"/>
        <w:rPr>
          <w:sz w:val="20"/>
          <w:szCs w:val="20"/>
        </w:rPr>
      </w:pPr>
    </w:p>
    <w:p w14:paraId="3CFB3B79" w14:textId="77777777" w:rsidR="004F0598" w:rsidRDefault="004F0598" w:rsidP="004F0598">
      <w:pPr>
        <w:ind w:left="-180"/>
        <w:rPr>
          <w:sz w:val="20"/>
          <w:szCs w:val="20"/>
        </w:rPr>
      </w:pPr>
    </w:p>
    <w:p w14:paraId="0D255EF6" w14:textId="77777777" w:rsidR="004F0598" w:rsidRDefault="004F0598" w:rsidP="004F0598">
      <w:pPr>
        <w:ind w:left="-180"/>
        <w:rPr>
          <w:sz w:val="20"/>
          <w:szCs w:val="20"/>
        </w:rPr>
      </w:pPr>
    </w:p>
    <w:p w14:paraId="6DB8BA36" w14:textId="77777777" w:rsidR="004F0598" w:rsidRDefault="004F0598" w:rsidP="004F0598">
      <w:pPr>
        <w:ind w:left="-180"/>
        <w:rPr>
          <w:sz w:val="20"/>
          <w:szCs w:val="20"/>
        </w:rPr>
      </w:pPr>
    </w:p>
    <w:p w14:paraId="62CCA852" w14:textId="77777777" w:rsidR="004F0598" w:rsidRDefault="004F0598" w:rsidP="004F0598">
      <w:pPr>
        <w:ind w:left="-180"/>
        <w:rPr>
          <w:sz w:val="20"/>
          <w:szCs w:val="20"/>
        </w:rPr>
      </w:pPr>
    </w:p>
    <w:p w14:paraId="6062319F" w14:textId="77777777" w:rsidR="004F0598" w:rsidRDefault="004F0598" w:rsidP="004F0598">
      <w:pPr>
        <w:ind w:left="-180"/>
        <w:rPr>
          <w:sz w:val="20"/>
          <w:szCs w:val="20"/>
        </w:rPr>
      </w:pPr>
    </w:p>
    <w:p w14:paraId="321686D1" w14:textId="77777777" w:rsidR="004F0598" w:rsidRDefault="004F0598" w:rsidP="004F0598">
      <w:pPr>
        <w:ind w:left="-180"/>
        <w:rPr>
          <w:sz w:val="20"/>
          <w:szCs w:val="20"/>
        </w:rPr>
      </w:pPr>
    </w:p>
    <w:p w14:paraId="253EC28A" w14:textId="77777777" w:rsidR="004F0598" w:rsidRDefault="004F0598" w:rsidP="004F0598">
      <w:pPr>
        <w:ind w:left="-180"/>
        <w:rPr>
          <w:sz w:val="20"/>
          <w:szCs w:val="20"/>
        </w:rPr>
      </w:pPr>
    </w:p>
    <w:p w14:paraId="73B9EDF7" w14:textId="77777777" w:rsidR="004F0598" w:rsidRDefault="004F0598" w:rsidP="004F0598">
      <w:pPr>
        <w:ind w:left="-180"/>
        <w:rPr>
          <w:sz w:val="20"/>
          <w:szCs w:val="20"/>
        </w:rPr>
      </w:pPr>
    </w:p>
    <w:p w14:paraId="3EEB01A9" w14:textId="77777777" w:rsidR="004F0598" w:rsidRDefault="004F0598" w:rsidP="004F0598">
      <w:pPr>
        <w:ind w:left="-180"/>
        <w:rPr>
          <w:sz w:val="20"/>
          <w:szCs w:val="20"/>
        </w:rPr>
      </w:pPr>
    </w:p>
    <w:p w14:paraId="58AB7DA5" w14:textId="77777777" w:rsidR="004F0598" w:rsidRDefault="004F0598" w:rsidP="004F0598">
      <w:pPr>
        <w:ind w:left="-180"/>
        <w:rPr>
          <w:sz w:val="20"/>
          <w:szCs w:val="20"/>
        </w:rPr>
      </w:pPr>
    </w:p>
    <w:p w14:paraId="46000732" w14:textId="77777777" w:rsidR="004F0598" w:rsidRDefault="004F0598" w:rsidP="004F0598">
      <w:pPr>
        <w:ind w:left="-180"/>
        <w:rPr>
          <w:sz w:val="20"/>
          <w:szCs w:val="20"/>
        </w:rPr>
      </w:pPr>
      <w:r>
        <w:rPr>
          <w:sz w:val="20"/>
          <w:szCs w:val="20"/>
        </w:rPr>
        <w:t xml:space="preserve">HISTOLOGIC ANALYSIS OF TESTICULAR DEVELOPMENT AND SEXUAL MATURATION IN REHABILITATED NORTHERN SEA OTTERS (ENHYDRA LUTRIS KENYONI) </w:t>
      </w:r>
    </w:p>
    <w:p w14:paraId="0A20E45B" w14:textId="77777777" w:rsidR="004F0598" w:rsidRDefault="004F0598" w:rsidP="004F0598">
      <w:pPr>
        <w:ind w:left="-180"/>
        <w:rPr>
          <w:sz w:val="20"/>
          <w:szCs w:val="20"/>
        </w:rPr>
      </w:pPr>
      <w:r>
        <w:rPr>
          <w:sz w:val="20"/>
          <w:szCs w:val="20"/>
        </w:rPr>
        <w:t>Pace, Courtney; Goertz, Caroline E.C.; Woodie, Kathleen; … Garner, Michael M. JZWM 54(2) 2023</w:t>
      </w:r>
    </w:p>
    <w:p w14:paraId="2AE52CB5" w14:textId="77777777" w:rsidR="004F0598" w:rsidRDefault="004F0598" w:rsidP="004F0598">
      <w:pPr>
        <w:ind w:left="-180"/>
        <w:rPr>
          <w:sz w:val="14"/>
          <w:szCs w:val="14"/>
        </w:rPr>
      </w:pPr>
    </w:p>
    <w:p w14:paraId="34F0F7B1" w14:textId="77777777" w:rsidR="004F0598" w:rsidRDefault="004F0598" w:rsidP="004F0598">
      <w:pPr>
        <w:ind w:left="-180"/>
        <w:rPr>
          <w:b/>
          <w:i/>
          <w:sz w:val="20"/>
          <w:szCs w:val="20"/>
        </w:rPr>
      </w:pPr>
      <w:r>
        <w:rPr>
          <w:b/>
          <w:sz w:val="20"/>
          <w:szCs w:val="20"/>
        </w:rPr>
        <w:t>Abstract:</w:t>
      </w:r>
      <w:r>
        <w:rPr>
          <w:sz w:val="20"/>
          <w:szCs w:val="20"/>
        </w:rPr>
        <w:t xml:space="preserve"> As part of routine captive management of the species, sea otter (</w:t>
      </w:r>
      <w:r>
        <w:rPr>
          <w:i/>
          <w:sz w:val="20"/>
          <w:szCs w:val="20"/>
        </w:rPr>
        <w:t>Enhydra lutris</w:t>
      </w:r>
      <w:r>
        <w:rPr>
          <w:sz w:val="20"/>
          <w:szCs w:val="20"/>
        </w:rPr>
        <w:t xml:space="preserve">) males are often castrated to prevent reproduction, to preserve limited spaces for future </w:t>
      </w:r>
      <w:proofErr w:type="spellStart"/>
      <w:r>
        <w:rPr>
          <w:sz w:val="20"/>
          <w:szCs w:val="20"/>
        </w:rPr>
        <w:t>nonreleasable</w:t>
      </w:r>
      <w:proofErr w:type="spellEnd"/>
      <w:r>
        <w:rPr>
          <w:sz w:val="20"/>
          <w:szCs w:val="20"/>
        </w:rPr>
        <w:t xml:space="preserve"> stranded individuals, and to minimize potential aggression among cohorts. To determine the relative stage of testicular development, testicles from 14 castrated, rehabilitated northern sea otters (</w:t>
      </w:r>
      <w:r>
        <w:rPr>
          <w:i/>
          <w:sz w:val="20"/>
          <w:szCs w:val="20"/>
        </w:rPr>
        <w:t xml:space="preserve">Enhydra lutris </w:t>
      </w:r>
      <w:proofErr w:type="spellStart"/>
      <w:r>
        <w:rPr>
          <w:i/>
          <w:sz w:val="20"/>
          <w:szCs w:val="20"/>
        </w:rPr>
        <w:t>kenyoni</w:t>
      </w:r>
      <w:proofErr w:type="spellEnd"/>
      <w:r>
        <w:rPr>
          <w:sz w:val="20"/>
          <w:szCs w:val="20"/>
        </w:rPr>
        <w:t xml:space="preserve">) were submitted for histologic examination. Eight of the otters (aged 201, 304, 344, 352, 360, 373, 401, and 1,423 d old) had evidence of varying degrees of sexual maturity. Histologic grading of maturity of individual testicles showed inactive testes, spermatocytes with some maturation of spermatogenic precursors, and fully active spermatogenesis. Spermatozoa were seen in the otters that were 401 and 1,423 d old (1.1 and 3.9 </w:t>
      </w:r>
      <w:proofErr w:type="spellStart"/>
      <w:r>
        <w:rPr>
          <w:sz w:val="20"/>
          <w:szCs w:val="20"/>
        </w:rPr>
        <w:t>yr</w:t>
      </w:r>
      <w:proofErr w:type="spellEnd"/>
      <w:r>
        <w:rPr>
          <w:sz w:val="20"/>
          <w:szCs w:val="20"/>
        </w:rPr>
        <w:t xml:space="preserve"> old). Sexual maturity for wild male sea otters in Alaska has been previously reported to occur from 3 to 5–6 yr. Social maturity, or the ability to breed and reproduce, may occur a few years later than the onset of physiologic maturity; age, weight, territory quality, and the length of time holding a territory may influence a male otter's mating success. Early testicular development in rehabilitated sea otters may be related to abundant resources, lack of competition, and decreased environmental pressures. Additionally, these findings have implications for husbandry and management practices in short- and long-term care facilities.</w:t>
      </w:r>
    </w:p>
    <w:p w14:paraId="1B5B1646" w14:textId="77777777" w:rsidR="004F0598" w:rsidRDefault="004F0598" w:rsidP="004F0598">
      <w:pPr>
        <w:ind w:left="-180"/>
        <w:jc w:val="right"/>
        <w:rPr>
          <w:sz w:val="14"/>
          <w:szCs w:val="14"/>
        </w:rPr>
      </w:pPr>
    </w:p>
    <w:p w14:paraId="10722E29" w14:textId="77777777" w:rsidR="004F0598" w:rsidRDefault="004F0598" w:rsidP="004F0598">
      <w:pPr>
        <w:ind w:left="-180"/>
        <w:rPr>
          <w:sz w:val="20"/>
          <w:szCs w:val="20"/>
        </w:rPr>
      </w:pPr>
      <w:r>
        <w:rPr>
          <w:b/>
          <w:sz w:val="20"/>
          <w:szCs w:val="20"/>
        </w:rPr>
        <w:t>Introduction</w:t>
      </w:r>
      <w:r>
        <w:rPr>
          <w:sz w:val="20"/>
          <w:szCs w:val="20"/>
        </w:rPr>
        <w:t>:</w:t>
      </w:r>
    </w:p>
    <w:p w14:paraId="07618D40" w14:textId="77777777" w:rsidR="004F0598" w:rsidRDefault="004F0598" w:rsidP="004F0598">
      <w:pPr>
        <w:widowControl w:val="0"/>
        <w:numPr>
          <w:ilvl w:val="0"/>
          <w:numId w:val="9"/>
        </w:numPr>
        <w:spacing w:line="276" w:lineRule="auto"/>
        <w:rPr>
          <w:sz w:val="20"/>
          <w:szCs w:val="20"/>
        </w:rPr>
      </w:pPr>
      <w:proofErr w:type="spellStart"/>
      <w:r>
        <w:rPr>
          <w:sz w:val="20"/>
          <w:szCs w:val="20"/>
        </w:rPr>
        <w:lastRenderedPageBreak/>
        <w:t>Deslorelin</w:t>
      </w:r>
      <w:proofErr w:type="spellEnd"/>
      <w:r>
        <w:rPr>
          <w:sz w:val="20"/>
          <w:szCs w:val="20"/>
        </w:rPr>
        <w:t xml:space="preserve"> may be used to control reproductive activities and reduce aggression</w:t>
      </w:r>
    </w:p>
    <w:p w14:paraId="44748620" w14:textId="77777777" w:rsidR="004F0598" w:rsidRDefault="004F0598" w:rsidP="004F0598">
      <w:pPr>
        <w:widowControl w:val="0"/>
        <w:numPr>
          <w:ilvl w:val="1"/>
          <w:numId w:val="9"/>
        </w:numPr>
        <w:spacing w:line="276" w:lineRule="auto"/>
        <w:rPr>
          <w:sz w:val="20"/>
          <w:szCs w:val="20"/>
        </w:rPr>
      </w:pPr>
      <w:r>
        <w:rPr>
          <w:sz w:val="20"/>
          <w:szCs w:val="20"/>
        </w:rPr>
        <w:t>Decreases: testicular size, testosterone levels, and aggression in males</w:t>
      </w:r>
    </w:p>
    <w:p w14:paraId="454A441B" w14:textId="77777777" w:rsidR="004F0598" w:rsidRDefault="004F0598" w:rsidP="004F0598">
      <w:pPr>
        <w:widowControl w:val="0"/>
        <w:numPr>
          <w:ilvl w:val="1"/>
          <w:numId w:val="9"/>
        </w:numPr>
        <w:spacing w:line="276" w:lineRule="auto"/>
        <w:rPr>
          <w:sz w:val="20"/>
          <w:szCs w:val="20"/>
        </w:rPr>
      </w:pPr>
      <w:r>
        <w:rPr>
          <w:sz w:val="20"/>
          <w:szCs w:val="20"/>
        </w:rPr>
        <w:t>Repeated implantation needed every 6-12 month with exact duration unknown causing possible gaps in coverage</w:t>
      </w:r>
    </w:p>
    <w:p w14:paraId="4D23886A" w14:textId="77777777" w:rsidR="004F0598" w:rsidRDefault="004F0598" w:rsidP="004F0598">
      <w:pPr>
        <w:widowControl w:val="0"/>
        <w:numPr>
          <w:ilvl w:val="0"/>
          <w:numId w:val="9"/>
        </w:numPr>
        <w:spacing w:line="276" w:lineRule="auto"/>
        <w:rPr>
          <w:sz w:val="20"/>
          <w:szCs w:val="20"/>
        </w:rPr>
      </w:pPr>
      <w:r>
        <w:rPr>
          <w:sz w:val="20"/>
          <w:szCs w:val="20"/>
        </w:rPr>
        <w:t xml:space="preserve">Surgical castration </w:t>
      </w:r>
      <w:proofErr w:type="gramStart"/>
      <w:r>
        <w:rPr>
          <w:sz w:val="20"/>
          <w:szCs w:val="20"/>
        </w:rPr>
        <w:t>is  method</w:t>
      </w:r>
      <w:proofErr w:type="gramEnd"/>
      <w:r>
        <w:rPr>
          <w:sz w:val="20"/>
          <w:szCs w:val="20"/>
        </w:rPr>
        <w:t xml:space="preserve"> of choice for population control and has been performed successfully with a modified closed approach with very little complications since 2009</w:t>
      </w:r>
    </w:p>
    <w:p w14:paraId="673524B8" w14:textId="77777777" w:rsidR="004F0598" w:rsidRDefault="004F0598" w:rsidP="004F0598">
      <w:pPr>
        <w:widowControl w:val="0"/>
        <w:rPr>
          <w:sz w:val="14"/>
          <w:szCs w:val="14"/>
        </w:rPr>
      </w:pPr>
    </w:p>
    <w:p w14:paraId="7CCE9B5B" w14:textId="77777777" w:rsidR="004F0598" w:rsidRDefault="004F0598" w:rsidP="004F0598">
      <w:pPr>
        <w:widowControl w:val="0"/>
        <w:rPr>
          <w:b/>
          <w:sz w:val="20"/>
          <w:szCs w:val="20"/>
        </w:rPr>
      </w:pPr>
      <w:r>
        <w:rPr>
          <w:b/>
          <w:sz w:val="20"/>
          <w:szCs w:val="20"/>
        </w:rPr>
        <w:t>Main Points:</w:t>
      </w:r>
    </w:p>
    <w:p w14:paraId="1D2ADD35" w14:textId="77777777" w:rsidR="004F0598" w:rsidRDefault="004F0598" w:rsidP="004F0598">
      <w:pPr>
        <w:widowControl w:val="0"/>
        <w:numPr>
          <w:ilvl w:val="0"/>
          <w:numId w:val="10"/>
        </w:numPr>
        <w:spacing w:line="276" w:lineRule="auto"/>
        <w:rPr>
          <w:sz w:val="20"/>
          <w:szCs w:val="20"/>
        </w:rPr>
      </w:pPr>
      <w:r>
        <w:rPr>
          <w:sz w:val="20"/>
          <w:szCs w:val="20"/>
        </w:rPr>
        <w:t xml:space="preserve">14 otters (including one that died prior to placement) were stranded in south central Alaska and deemed non-releasable and were </w:t>
      </w:r>
      <w:proofErr w:type="gramStart"/>
      <w:r>
        <w:rPr>
          <w:sz w:val="20"/>
          <w:szCs w:val="20"/>
        </w:rPr>
        <w:t>castrated  once</w:t>
      </w:r>
      <w:proofErr w:type="gramEnd"/>
      <w:r>
        <w:rPr>
          <w:sz w:val="20"/>
          <w:szCs w:val="20"/>
        </w:rPr>
        <w:t xml:space="preserve"> they were healthy and testicles were descended</w:t>
      </w:r>
    </w:p>
    <w:p w14:paraId="10750A81" w14:textId="77777777" w:rsidR="004F0598" w:rsidRDefault="004F0598" w:rsidP="004F0598">
      <w:pPr>
        <w:widowControl w:val="0"/>
        <w:numPr>
          <w:ilvl w:val="0"/>
          <w:numId w:val="10"/>
        </w:numPr>
        <w:spacing w:line="276" w:lineRule="auto"/>
        <w:rPr>
          <w:sz w:val="20"/>
          <w:szCs w:val="20"/>
        </w:rPr>
      </w:pPr>
      <w:r>
        <w:rPr>
          <w:sz w:val="20"/>
          <w:szCs w:val="20"/>
        </w:rPr>
        <w:t xml:space="preserve">Immature animals had closed tubules with no obvious lumen, a simple epithelium that consisted of a single layer of Sertoli cells or </w:t>
      </w:r>
      <w:proofErr w:type="spellStart"/>
      <w:r>
        <w:rPr>
          <w:sz w:val="20"/>
          <w:szCs w:val="20"/>
        </w:rPr>
        <w:t>prospermatogonia</w:t>
      </w:r>
      <w:proofErr w:type="spellEnd"/>
      <w:r>
        <w:rPr>
          <w:sz w:val="20"/>
          <w:szCs w:val="20"/>
        </w:rPr>
        <w:t xml:space="preserve"> along the basement membrane, and no spermatozoa present in the testis or the epididymis</w:t>
      </w:r>
    </w:p>
    <w:p w14:paraId="7520BEF1" w14:textId="77777777" w:rsidR="004F0598" w:rsidRDefault="004F0598" w:rsidP="004F0598">
      <w:pPr>
        <w:widowControl w:val="0"/>
        <w:numPr>
          <w:ilvl w:val="0"/>
          <w:numId w:val="10"/>
        </w:numPr>
        <w:spacing w:line="276" w:lineRule="auto"/>
        <w:rPr>
          <w:sz w:val="20"/>
          <w:szCs w:val="20"/>
        </w:rPr>
      </w:pPr>
      <w:r>
        <w:rPr>
          <w:sz w:val="20"/>
          <w:szCs w:val="20"/>
        </w:rPr>
        <w:t>Maturing animals had varied findings, ranging from spermatocytes without spermatids, immature spermatids, or mature spermatids; the seminiferous tubules were not fully open, and spermatozoa were absent within the epididymis</w:t>
      </w:r>
    </w:p>
    <w:p w14:paraId="044A19B7" w14:textId="77777777" w:rsidR="004F0598" w:rsidRDefault="004F0598" w:rsidP="004F0598">
      <w:pPr>
        <w:widowControl w:val="0"/>
        <w:numPr>
          <w:ilvl w:val="0"/>
          <w:numId w:val="10"/>
        </w:numPr>
        <w:spacing w:line="276" w:lineRule="auto"/>
        <w:rPr>
          <w:sz w:val="20"/>
          <w:szCs w:val="20"/>
        </w:rPr>
      </w:pPr>
      <w:r>
        <w:rPr>
          <w:sz w:val="20"/>
          <w:szCs w:val="20"/>
        </w:rPr>
        <w:t>Mature animals had open tubules with pronounced lumens, complex epithelia, and spermatozoa within the testis and the epididymis, youngest mature was 401 days (1.1 years of age)</w:t>
      </w:r>
    </w:p>
    <w:p w14:paraId="29C94631" w14:textId="77777777" w:rsidR="004F0598" w:rsidRDefault="004F0598" w:rsidP="004F0598">
      <w:pPr>
        <w:widowControl w:val="0"/>
        <w:numPr>
          <w:ilvl w:val="0"/>
          <w:numId w:val="10"/>
        </w:numPr>
        <w:spacing w:line="276" w:lineRule="auto"/>
        <w:rPr>
          <w:sz w:val="20"/>
          <w:szCs w:val="20"/>
        </w:rPr>
      </w:pPr>
      <w:r>
        <w:rPr>
          <w:sz w:val="20"/>
          <w:szCs w:val="20"/>
        </w:rPr>
        <w:t>Early testicular development in the rehabilitated sea otters may be related to abundant resources, lack of competition, and decreased environmental pressures (3-5/6 years in the wild)</w:t>
      </w:r>
    </w:p>
    <w:p w14:paraId="29968EEF" w14:textId="77777777" w:rsidR="004F0598" w:rsidRDefault="004F0598" w:rsidP="004F0598">
      <w:pPr>
        <w:widowControl w:val="0"/>
        <w:numPr>
          <w:ilvl w:val="0"/>
          <w:numId w:val="10"/>
        </w:numPr>
        <w:spacing w:line="276" w:lineRule="auto"/>
        <w:rPr>
          <w:sz w:val="20"/>
          <w:szCs w:val="20"/>
        </w:rPr>
      </w:pPr>
      <w:r>
        <w:rPr>
          <w:sz w:val="20"/>
          <w:szCs w:val="20"/>
        </w:rPr>
        <w:t>Age but not weight was predictive of sexual maturity</w:t>
      </w:r>
    </w:p>
    <w:p w14:paraId="0FF62518" w14:textId="77777777" w:rsidR="004F0598" w:rsidRDefault="004F0598" w:rsidP="004F0598">
      <w:pPr>
        <w:widowControl w:val="0"/>
        <w:numPr>
          <w:ilvl w:val="0"/>
          <w:numId w:val="10"/>
        </w:numPr>
        <w:spacing w:line="276" w:lineRule="auto"/>
        <w:rPr>
          <w:sz w:val="20"/>
          <w:szCs w:val="20"/>
        </w:rPr>
      </w:pPr>
      <w:r>
        <w:rPr>
          <w:sz w:val="20"/>
          <w:szCs w:val="20"/>
        </w:rPr>
        <w:t>Long-term effects of early castration and optimal age for castration warrants further study</w:t>
      </w:r>
    </w:p>
    <w:p w14:paraId="70F9BB05" w14:textId="77777777" w:rsidR="004F0598" w:rsidRDefault="004F0598" w:rsidP="004F0598">
      <w:pPr>
        <w:widowControl w:val="0"/>
        <w:ind w:left="720"/>
        <w:rPr>
          <w:sz w:val="14"/>
          <w:szCs w:val="14"/>
        </w:rPr>
      </w:pPr>
    </w:p>
    <w:p w14:paraId="37889C96" w14:textId="77777777" w:rsidR="004F0598" w:rsidRDefault="004F0598" w:rsidP="004F0598">
      <w:pPr>
        <w:widowControl w:val="0"/>
        <w:rPr>
          <w:sz w:val="20"/>
          <w:szCs w:val="20"/>
        </w:rPr>
      </w:pPr>
      <w:r>
        <w:rPr>
          <w:b/>
          <w:sz w:val="20"/>
          <w:szCs w:val="20"/>
        </w:rPr>
        <w:t>Take Home</w:t>
      </w:r>
      <w:r>
        <w:rPr>
          <w:sz w:val="20"/>
          <w:szCs w:val="20"/>
        </w:rPr>
        <w:t>: Northern male sea otters as young as 1 year old may produce sperm and lead to unplanned pregnancies in managed care where resources are readily available. Authors recommend that individuals less than 222 d should be considered immature with high confidence, those more than 302 should be considered maturing or mature, and those 222–302 d should be considered borderline.</w:t>
      </w:r>
    </w:p>
    <w:p w14:paraId="3C417765" w14:textId="145F6EB9" w:rsidR="004F0598" w:rsidRDefault="004F0598" w:rsidP="00D31F31"/>
    <w:p w14:paraId="005A6A39" w14:textId="77777777" w:rsidR="004F0598" w:rsidRPr="00DE1705" w:rsidRDefault="004F0598" w:rsidP="004F0598">
      <w:pPr>
        <w:autoSpaceDE w:val="0"/>
        <w:autoSpaceDN w:val="0"/>
        <w:adjustRightInd w:val="0"/>
        <w:rPr>
          <w:rFonts w:ascii="Times New Roman" w:hAnsi="Times New Roman" w:cs="Times New Roman"/>
          <w:i/>
          <w:iCs/>
          <w:sz w:val="20"/>
          <w:szCs w:val="20"/>
        </w:rPr>
      </w:pPr>
      <w:r w:rsidRPr="00DE1705">
        <w:rPr>
          <w:rFonts w:ascii="Times New Roman" w:hAnsi="Times New Roman" w:cs="Times New Roman"/>
          <w:i/>
          <w:iCs/>
          <w:sz w:val="20"/>
          <w:szCs w:val="20"/>
        </w:rPr>
        <w:t xml:space="preserve">Journal of Wildlife Diseases, 58(1), 2022, pp. 63–75 </w:t>
      </w:r>
    </w:p>
    <w:p w14:paraId="27A9AE6D" w14:textId="77777777" w:rsidR="004F0598" w:rsidRPr="00C43760" w:rsidRDefault="004F0598" w:rsidP="004F0598">
      <w:pPr>
        <w:autoSpaceDE w:val="0"/>
        <w:autoSpaceDN w:val="0"/>
        <w:adjustRightInd w:val="0"/>
        <w:rPr>
          <w:rFonts w:ascii="Times New Roman" w:hAnsi="Times New Roman" w:cs="Times New Roman"/>
          <w:sz w:val="28"/>
          <w:szCs w:val="28"/>
        </w:rPr>
      </w:pPr>
    </w:p>
    <w:p w14:paraId="33955B66" w14:textId="77777777" w:rsidR="004F0598" w:rsidRPr="00DE1705" w:rsidRDefault="004F0598" w:rsidP="004F0598">
      <w:pPr>
        <w:contextualSpacing/>
        <w:jc w:val="center"/>
        <w:rPr>
          <w:rFonts w:ascii="Times New Roman" w:hAnsi="Times New Roman" w:cs="Times New Roman"/>
          <w:bCs/>
          <w:sz w:val="28"/>
          <w:szCs w:val="28"/>
        </w:rPr>
      </w:pPr>
      <w:r w:rsidRPr="00DE1705">
        <w:rPr>
          <w:rFonts w:ascii="Times New Roman" w:hAnsi="Times New Roman" w:cs="Times New Roman"/>
          <w:bCs/>
          <w:sz w:val="28"/>
          <w:szCs w:val="28"/>
        </w:rPr>
        <w:t>INVESTIGATING ASSOCIATIONS AMONG RELATEDNESS, GENETIC DIVERSITY, AND CAUSES OF MORTALITY IN SOUTHERN SEA OTTERS (</w:t>
      </w:r>
      <w:r w:rsidRPr="00DE1705">
        <w:rPr>
          <w:rFonts w:ascii="Times New Roman" w:hAnsi="Times New Roman" w:cs="Times New Roman"/>
          <w:bCs/>
          <w:i/>
          <w:iCs/>
          <w:sz w:val="28"/>
          <w:szCs w:val="28"/>
        </w:rPr>
        <w:t>ENHYDRA LUTRIS NEREIS</w:t>
      </w:r>
      <w:r w:rsidRPr="00DE1705">
        <w:rPr>
          <w:rFonts w:ascii="Times New Roman" w:hAnsi="Times New Roman" w:cs="Times New Roman"/>
          <w:bCs/>
          <w:sz w:val="28"/>
          <w:szCs w:val="28"/>
        </w:rPr>
        <w:t xml:space="preserve">) </w:t>
      </w:r>
    </w:p>
    <w:p w14:paraId="03E02B14" w14:textId="77777777" w:rsidR="004F0598" w:rsidRPr="00DE1705" w:rsidRDefault="004F0598" w:rsidP="004F0598">
      <w:pPr>
        <w:contextualSpacing/>
        <w:rPr>
          <w:rFonts w:ascii="Times New Roman" w:hAnsi="Times New Roman" w:cs="Times New Roman"/>
          <w:sz w:val="20"/>
          <w:szCs w:val="20"/>
        </w:rPr>
      </w:pPr>
      <w:r w:rsidRPr="00DE1705">
        <w:rPr>
          <w:rFonts w:ascii="Times New Roman" w:hAnsi="Times New Roman" w:cs="Times New Roman"/>
          <w:sz w:val="20"/>
          <w:szCs w:val="20"/>
        </w:rPr>
        <w:t>Nicole H. Carter,</w:t>
      </w:r>
      <w:r w:rsidRPr="00C43760">
        <w:rPr>
          <w:rFonts w:ascii="Times New Roman" w:hAnsi="Times New Roman" w:cs="Times New Roman"/>
          <w:sz w:val="20"/>
          <w:szCs w:val="20"/>
        </w:rPr>
        <w:t xml:space="preserve"> </w:t>
      </w:r>
      <w:r w:rsidRPr="00DE1705">
        <w:rPr>
          <w:rFonts w:ascii="Times New Roman" w:hAnsi="Times New Roman" w:cs="Times New Roman"/>
          <w:sz w:val="20"/>
          <w:szCs w:val="20"/>
        </w:rPr>
        <w:t>Melissa A. Miller, Megan E. Moriarty,</w:t>
      </w:r>
      <w:r w:rsidRPr="00C43760">
        <w:rPr>
          <w:rFonts w:ascii="Times New Roman" w:hAnsi="Times New Roman" w:cs="Times New Roman"/>
          <w:sz w:val="20"/>
          <w:szCs w:val="20"/>
        </w:rPr>
        <w:t xml:space="preserve"> </w:t>
      </w:r>
      <w:r w:rsidRPr="00DE1705">
        <w:rPr>
          <w:rFonts w:ascii="Times New Roman" w:hAnsi="Times New Roman" w:cs="Times New Roman"/>
          <w:sz w:val="20"/>
          <w:szCs w:val="20"/>
        </w:rPr>
        <w:t>M. Tim Tinker, Roderick B. Gagne,</w:t>
      </w:r>
      <w:r w:rsidRPr="00C43760">
        <w:rPr>
          <w:rFonts w:ascii="Times New Roman" w:hAnsi="Times New Roman" w:cs="Times New Roman"/>
          <w:sz w:val="20"/>
          <w:szCs w:val="20"/>
        </w:rPr>
        <w:t xml:space="preserve"> </w:t>
      </w:r>
      <w:r w:rsidRPr="00DE1705">
        <w:rPr>
          <w:rFonts w:ascii="Times New Roman" w:hAnsi="Times New Roman" w:cs="Times New Roman"/>
          <w:sz w:val="20"/>
          <w:szCs w:val="20"/>
        </w:rPr>
        <w:t xml:space="preserve">Christine K. Johnson, Michael J. Murray, Michelle M. </w:t>
      </w:r>
      <w:proofErr w:type="spellStart"/>
      <w:r w:rsidRPr="00DE1705">
        <w:rPr>
          <w:rFonts w:ascii="Times New Roman" w:hAnsi="Times New Roman" w:cs="Times New Roman"/>
          <w:sz w:val="20"/>
          <w:szCs w:val="20"/>
        </w:rPr>
        <w:t>Staedler</w:t>
      </w:r>
      <w:proofErr w:type="spellEnd"/>
      <w:r w:rsidRPr="00DE1705">
        <w:rPr>
          <w:rFonts w:ascii="Times New Roman" w:hAnsi="Times New Roman" w:cs="Times New Roman"/>
          <w:sz w:val="20"/>
          <w:szCs w:val="20"/>
        </w:rPr>
        <w:t>,</w:t>
      </w:r>
      <w:r w:rsidRPr="00C43760">
        <w:rPr>
          <w:rFonts w:ascii="Times New Roman" w:hAnsi="Times New Roman" w:cs="Times New Roman"/>
          <w:sz w:val="20"/>
          <w:szCs w:val="20"/>
        </w:rPr>
        <w:t xml:space="preserve"> </w:t>
      </w:r>
      <w:r w:rsidRPr="00DE1705">
        <w:rPr>
          <w:rFonts w:ascii="Times New Roman" w:hAnsi="Times New Roman" w:cs="Times New Roman"/>
          <w:sz w:val="20"/>
          <w:szCs w:val="20"/>
        </w:rPr>
        <w:t xml:space="preserve">Berit </w:t>
      </w:r>
      <w:proofErr w:type="spellStart"/>
      <w:r w:rsidRPr="00DE1705">
        <w:rPr>
          <w:rFonts w:ascii="Times New Roman" w:hAnsi="Times New Roman" w:cs="Times New Roman"/>
          <w:sz w:val="20"/>
          <w:szCs w:val="20"/>
        </w:rPr>
        <w:t>Bangoura</w:t>
      </w:r>
      <w:proofErr w:type="spellEnd"/>
      <w:r w:rsidRPr="00DE1705">
        <w:rPr>
          <w:rFonts w:ascii="Times New Roman" w:hAnsi="Times New Roman" w:cs="Times New Roman"/>
          <w:sz w:val="20"/>
          <w:szCs w:val="20"/>
        </w:rPr>
        <w:t>, Shawn Larson, and Holly B. Ernest</w:t>
      </w:r>
    </w:p>
    <w:p w14:paraId="49E15BA2" w14:textId="77777777" w:rsidR="004F0598" w:rsidRPr="00C43760" w:rsidRDefault="004F0598" w:rsidP="004F0598">
      <w:pPr>
        <w:contextualSpacing/>
        <w:rPr>
          <w:rFonts w:ascii="Times New Roman" w:hAnsi="Times New Roman" w:cs="Times New Roman"/>
          <w:sz w:val="20"/>
          <w:szCs w:val="20"/>
        </w:rPr>
      </w:pPr>
    </w:p>
    <w:p w14:paraId="6585269F" w14:textId="77777777" w:rsidR="004F0598" w:rsidRPr="00C43760" w:rsidRDefault="004F0598" w:rsidP="004F0598">
      <w:pPr>
        <w:contextualSpacing/>
        <w:jc w:val="center"/>
        <w:rPr>
          <w:rFonts w:ascii="Times New Roman" w:hAnsi="Times New Roman" w:cs="Times New Roman"/>
          <w:bCs/>
          <w:sz w:val="20"/>
          <w:szCs w:val="20"/>
        </w:rPr>
      </w:pPr>
      <w:r w:rsidRPr="00C43760">
        <w:rPr>
          <w:rFonts w:ascii="Times New Roman" w:hAnsi="Times New Roman" w:cs="Times New Roman"/>
          <w:bCs/>
          <w:sz w:val="20"/>
          <w:szCs w:val="20"/>
        </w:rPr>
        <w:t>Abstract: Southern sea otter (</w:t>
      </w:r>
      <w:r w:rsidRPr="00C43760">
        <w:rPr>
          <w:rFonts w:ascii="Times New Roman" w:hAnsi="Times New Roman" w:cs="Times New Roman"/>
          <w:bCs/>
          <w:i/>
          <w:iCs/>
          <w:sz w:val="20"/>
          <w:szCs w:val="20"/>
        </w:rPr>
        <w:t>Enhydra lutris nereis</w:t>
      </w:r>
      <w:r w:rsidRPr="00C43760">
        <w:rPr>
          <w:rFonts w:ascii="Times New Roman" w:hAnsi="Times New Roman" w:cs="Times New Roman"/>
          <w:bCs/>
          <w:sz w:val="20"/>
          <w:szCs w:val="20"/>
        </w:rPr>
        <w:t xml:space="preserve">) population recovery is influenced by a variety of factors, including </w:t>
      </w:r>
      <w:r w:rsidRPr="00C43760">
        <w:rPr>
          <w:rFonts w:ascii="Times New Roman" w:hAnsi="Times New Roman" w:cs="Times New Roman"/>
          <w:b/>
          <w:sz w:val="20"/>
          <w:szCs w:val="20"/>
        </w:rPr>
        <w:t>predation, biotoxin exposure, infectious disease, oil spills, habitat degradation, and resource limitation</w:t>
      </w:r>
      <w:r w:rsidRPr="00C43760">
        <w:rPr>
          <w:rFonts w:ascii="Times New Roman" w:hAnsi="Times New Roman" w:cs="Times New Roman"/>
          <w:bCs/>
          <w:sz w:val="20"/>
          <w:szCs w:val="20"/>
        </w:rPr>
        <w:t xml:space="preserve">. This population has also experienced a significant </w:t>
      </w:r>
      <w:r w:rsidRPr="00C43760">
        <w:rPr>
          <w:rFonts w:ascii="Times New Roman" w:hAnsi="Times New Roman" w:cs="Times New Roman"/>
          <w:b/>
          <w:sz w:val="20"/>
          <w:szCs w:val="20"/>
        </w:rPr>
        <w:t>genetic bottleneck</w:t>
      </w:r>
      <w:r w:rsidRPr="00C43760">
        <w:rPr>
          <w:rFonts w:ascii="Times New Roman" w:hAnsi="Times New Roman" w:cs="Times New Roman"/>
          <w:bCs/>
          <w:sz w:val="20"/>
          <w:szCs w:val="20"/>
        </w:rPr>
        <w:t xml:space="preserve">, resulting in low genetic diversity. We investigated how two metrics, </w:t>
      </w:r>
      <w:r w:rsidRPr="00C43760">
        <w:rPr>
          <w:rFonts w:ascii="Times New Roman" w:hAnsi="Times New Roman" w:cs="Times New Roman"/>
          <w:b/>
          <w:sz w:val="20"/>
          <w:szCs w:val="20"/>
        </w:rPr>
        <w:t xml:space="preserve">familial </w:t>
      </w:r>
      <w:proofErr w:type="gramStart"/>
      <w:r w:rsidRPr="00C43760">
        <w:rPr>
          <w:rFonts w:ascii="Times New Roman" w:hAnsi="Times New Roman" w:cs="Times New Roman"/>
          <w:b/>
          <w:sz w:val="20"/>
          <w:szCs w:val="20"/>
        </w:rPr>
        <w:t>relatedness</w:t>
      </w:r>
      <w:proofErr w:type="gramEnd"/>
      <w:r w:rsidRPr="00C43760">
        <w:rPr>
          <w:rFonts w:ascii="Times New Roman" w:hAnsi="Times New Roman" w:cs="Times New Roman"/>
          <w:b/>
          <w:sz w:val="20"/>
          <w:szCs w:val="20"/>
        </w:rPr>
        <w:t xml:space="preserve"> </w:t>
      </w:r>
      <w:r w:rsidRPr="00C43760">
        <w:rPr>
          <w:rFonts w:ascii="Times New Roman" w:hAnsi="Times New Roman" w:cs="Times New Roman"/>
          <w:bCs/>
          <w:sz w:val="20"/>
          <w:szCs w:val="20"/>
        </w:rPr>
        <w:t xml:space="preserve">and </w:t>
      </w:r>
      <w:r w:rsidRPr="00C43760">
        <w:rPr>
          <w:rFonts w:ascii="Times New Roman" w:hAnsi="Times New Roman" w:cs="Times New Roman"/>
          <w:b/>
          <w:sz w:val="20"/>
          <w:szCs w:val="20"/>
        </w:rPr>
        <w:t>genetic diversity</w:t>
      </w:r>
      <w:r w:rsidRPr="00C43760">
        <w:rPr>
          <w:rFonts w:ascii="Times New Roman" w:hAnsi="Times New Roman" w:cs="Times New Roman"/>
          <w:bCs/>
          <w:sz w:val="20"/>
          <w:szCs w:val="20"/>
        </w:rPr>
        <w:t xml:space="preserve">, are correlated with </w:t>
      </w:r>
      <w:r w:rsidRPr="00C43760">
        <w:rPr>
          <w:rFonts w:ascii="Times New Roman" w:hAnsi="Times New Roman" w:cs="Times New Roman"/>
          <w:b/>
          <w:sz w:val="20"/>
          <w:szCs w:val="20"/>
        </w:rPr>
        <w:t>common causes of mortality in southern sea otters</w:t>
      </w:r>
      <w:r w:rsidRPr="00C43760">
        <w:rPr>
          <w:rFonts w:ascii="Times New Roman" w:hAnsi="Times New Roman" w:cs="Times New Roman"/>
          <w:bCs/>
          <w:sz w:val="20"/>
          <w:szCs w:val="20"/>
        </w:rPr>
        <w:t xml:space="preserve">, including </w:t>
      </w:r>
      <w:r w:rsidRPr="00C43760">
        <w:rPr>
          <w:rFonts w:ascii="Times New Roman" w:hAnsi="Times New Roman" w:cs="Times New Roman"/>
          <w:b/>
          <w:sz w:val="20"/>
          <w:szCs w:val="20"/>
        </w:rPr>
        <w:t>cardiomyopathy, acanthocephalan (</w:t>
      </w:r>
      <w:proofErr w:type="spellStart"/>
      <w:r w:rsidRPr="00C43760">
        <w:rPr>
          <w:rFonts w:ascii="Times New Roman" w:hAnsi="Times New Roman" w:cs="Times New Roman"/>
          <w:b/>
          <w:i/>
          <w:iCs/>
          <w:sz w:val="20"/>
          <w:szCs w:val="20"/>
        </w:rPr>
        <w:t>Profilicollis</w:t>
      </w:r>
      <w:proofErr w:type="spellEnd"/>
      <w:r w:rsidRPr="00C43760">
        <w:rPr>
          <w:rFonts w:ascii="Times New Roman" w:hAnsi="Times New Roman" w:cs="Times New Roman"/>
          <w:b/>
          <w:i/>
          <w:iCs/>
          <w:sz w:val="20"/>
          <w:szCs w:val="20"/>
        </w:rPr>
        <w:t xml:space="preserve"> spp</w:t>
      </w:r>
      <w:r w:rsidRPr="00C43760">
        <w:rPr>
          <w:rFonts w:ascii="Times New Roman" w:hAnsi="Times New Roman" w:cs="Times New Roman"/>
          <w:b/>
          <w:sz w:val="20"/>
          <w:szCs w:val="20"/>
        </w:rPr>
        <w:t>.) peritonitis, systemic protozoal infection (</w:t>
      </w:r>
      <w:r w:rsidRPr="00C43760">
        <w:rPr>
          <w:rFonts w:ascii="Times New Roman" w:hAnsi="Times New Roman" w:cs="Times New Roman"/>
          <w:b/>
          <w:i/>
          <w:iCs/>
          <w:sz w:val="20"/>
          <w:szCs w:val="20"/>
        </w:rPr>
        <w:t xml:space="preserve">Toxoplasma gondii </w:t>
      </w:r>
      <w:r w:rsidRPr="00C43760">
        <w:rPr>
          <w:rFonts w:ascii="Times New Roman" w:hAnsi="Times New Roman" w:cs="Times New Roman"/>
          <w:b/>
          <w:sz w:val="20"/>
          <w:szCs w:val="20"/>
        </w:rPr>
        <w:t>and</w:t>
      </w:r>
      <w:r w:rsidRPr="00C43760">
        <w:rPr>
          <w:rFonts w:ascii="Times New Roman" w:hAnsi="Times New Roman" w:cs="Times New Roman"/>
          <w:b/>
          <w:i/>
          <w:iCs/>
          <w:sz w:val="20"/>
          <w:szCs w:val="20"/>
        </w:rPr>
        <w:t xml:space="preserve"> </w:t>
      </w:r>
      <w:proofErr w:type="spellStart"/>
      <w:r w:rsidRPr="00C43760">
        <w:rPr>
          <w:rFonts w:ascii="Times New Roman" w:hAnsi="Times New Roman" w:cs="Times New Roman"/>
          <w:b/>
          <w:i/>
          <w:iCs/>
          <w:sz w:val="20"/>
          <w:szCs w:val="20"/>
        </w:rPr>
        <w:t>Sarcocystis</w:t>
      </w:r>
      <w:proofErr w:type="spellEnd"/>
      <w:r w:rsidRPr="00C43760">
        <w:rPr>
          <w:rFonts w:ascii="Times New Roman" w:hAnsi="Times New Roman" w:cs="Times New Roman"/>
          <w:b/>
          <w:i/>
          <w:iCs/>
          <w:sz w:val="20"/>
          <w:szCs w:val="20"/>
        </w:rPr>
        <w:t xml:space="preserve"> </w:t>
      </w:r>
      <w:proofErr w:type="spellStart"/>
      <w:r w:rsidRPr="00C43760">
        <w:rPr>
          <w:rFonts w:ascii="Times New Roman" w:hAnsi="Times New Roman" w:cs="Times New Roman"/>
          <w:b/>
          <w:i/>
          <w:iCs/>
          <w:sz w:val="20"/>
          <w:szCs w:val="20"/>
        </w:rPr>
        <w:t>neurona</w:t>
      </w:r>
      <w:proofErr w:type="spellEnd"/>
      <w:r w:rsidRPr="00C43760">
        <w:rPr>
          <w:rFonts w:ascii="Times New Roman" w:hAnsi="Times New Roman" w:cs="Times New Roman"/>
          <w:b/>
          <w:sz w:val="20"/>
          <w:szCs w:val="20"/>
        </w:rPr>
        <w:t>), domoic acid intoxication, end-lactation syndrome, and shark bite</w:t>
      </w:r>
      <w:r w:rsidRPr="00C43760">
        <w:rPr>
          <w:rFonts w:ascii="Times New Roman" w:hAnsi="Times New Roman" w:cs="Times New Roman"/>
          <w:bCs/>
          <w:sz w:val="20"/>
          <w:szCs w:val="20"/>
        </w:rPr>
        <w:t xml:space="preserve">. Microsatellite genetic markers were used to examine this association in 356 southern sea otters necropsied from 1998 to 2012. Significant associations with genetic diversity or familial relatedness (P&lt;0.05) were observed for cardiomyopathy, acanthocephalan peritonitis, and </w:t>
      </w:r>
      <w:proofErr w:type="spellStart"/>
      <w:r w:rsidRPr="00C43760">
        <w:rPr>
          <w:rFonts w:ascii="Times New Roman" w:hAnsi="Times New Roman" w:cs="Times New Roman"/>
          <w:bCs/>
          <w:sz w:val="20"/>
          <w:szCs w:val="20"/>
        </w:rPr>
        <w:t>sarcocystosis</w:t>
      </w:r>
      <w:proofErr w:type="spellEnd"/>
      <w:r w:rsidRPr="00C43760">
        <w:rPr>
          <w:rFonts w:ascii="Times New Roman" w:hAnsi="Times New Roman" w:cs="Times New Roman"/>
          <w:bCs/>
          <w:sz w:val="20"/>
          <w:szCs w:val="20"/>
        </w:rPr>
        <w:t xml:space="preserve">, and these associations varied by sex. Adult male cardiomyopathy cases (n=86) were more related than the null expectation (P&lt;0.049). Conversely, female acanthocephalan peritonitis controls (n=110) were more related than the null expectation (P&lt;0.004). Including genetic diversity as a predictor for fatal acanthocephalan peritonitis in the multivariate logistic model significantly improved model fit; lower genetic diversity was associated with reduced odds of sea otter death due to acanthocephalan peritonitis. Finally, male </w:t>
      </w:r>
      <w:proofErr w:type="spellStart"/>
      <w:r w:rsidRPr="00C43760">
        <w:rPr>
          <w:rFonts w:ascii="Times New Roman" w:hAnsi="Times New Roman" w:cs="Times New Roman"/>
          <w:bCs/>
          <w:sz w:val="20"/>
          <w:szCs w:val="20"/>
        </w:rPr>
        <w:t>sarcocystosis</w:t>
      </w:r>
      <w:proofErr w:type="spellEnd"/>
      <w:r w:rsidRPr="00C43760">
        <w:rPr>
          <w:rFonts w:ascii="Times New Roman" w:hAnsi="Times New Roman" w:cs="Times New Roman"/>
          <w:bCs/>
          <w:sz w:val="20"/>
          <w:szCs w:val="20"/>
        </w:rPr>
        <w:t xml:space="preserve"> controls (n=158) were more </w:t>
      </w:r>
      <w:r w:rsidRPr="00C43760">
        <w:rPr>
          <w:rFonts w:ascii="Times New Roman" w:hAnsi="Times New Roman" w:cs="Times New Roman"/>
          <w:bCs/>
          <w:sz w:val="20"/>
          <w:szCs w:val="20"/>
        </w:rPr>
        <w:lastRenderedPageBreak/>
        <w:t xml:space="preserve">related than the null expectation (P&lt;0.011). Including genetic diversity in the multivariate logistic model for fatal </w:t>
      </w:r>
      <w:r w:rsidRPr="00C43760">
        <w:rPr>
          <w:rFonts w:ascii="Times New Roman" w:hAnsi="Times New Roman" w:cs="Times New Roman"/>
          <w:bCs/>
          <w:i/>
          <w:iCs/>
          <w:sz w:val="20"/>
          <w:szCs w:val="20"/>
        </w:rPr>
        <w:t xml:space="preserve">S. </w:t>
      </w:r>
      <w:proofErr w:type="spellStart"/>
      <w:r w:rsidRPr="00C43760">
        <w:rPr>
          <w:rFonts w:ascii="Times New Roman" w:hAnsi="Times New Roman" w:cs="Times New Roman"/>
          <w:bCs/>
          <w:i/>
          <w:iCs/>
          <w:sz w:val="20"/>
          <w:szCs w:val="20"/>
        </w:rPr>
        <w:t>neurona</w:t>
      </w:r>
      <w:proofErr w:type="spellEnd"/>
      <w:r w:rsidRPr="00C43760">
        <w:rPr>
          <w:rFonts w:ascii="Times New Roman" w:hAnsi="Times New Roman" w:cs="Times New Roman"/>
          <w:bCs/>
          <w:sz w:val="20"/>
          <w:szCs w:val="20"/>
        </w:rPr>
        <w:t xml:space="preserve"> infection improved model fit; lower genetic diversity was associated with increased odds of sea otter death due to </w:t>
      </w:r>
      <w:r w:rsidRPr="00C43760">
        <w:rPr>
          <w:rFonts w:ascii="Times New Roman" w:hAnsi="Times New Roman" w:cs="Times New Roman"/>
          <w:bCs/>
          <w:i/>
          <w:iCs/>
          <w:sz w:val="20"/>
          <w:szCs w:val="20"/>
        </w:rPr>
        <w:t xml:space="preserve">S. </w:t>
      </w:r>
      <w:proofErr w:type="spellStart"/>
      <w:r w:rsidRPr="00C43760">
        <w:rPr>
          <w:rFonts w:ascii="Times New Roman" w:hAnsi="Times New Roman" w:cs="Times New Roman"/>
          <w:bCs/>
          <w:i/>
          <w:iCs/>
          <w:sz w:val="20"/>
          <w:szCs w:val="20"/>
        </w:rPr>
        <w:t>neurona</w:t>
      </w:r>
      <w:proofErr w:type="spellEnd"/>
      <w:r w:rsidRPr="00C43760">
        <w:rPr>
          <w:rFonts w:ascii="Times New Roman" w:hAnsi="Times New Roman" w:cs="Times New Roman"/>
          <w:bCs/>
          <w:sz w:val="20"/>
          <w:szCs w:val="20"/>
        </w:rPr>
        <w:t xml:space="preserve">. Our study suggests that genetic diversity and familial relatedness, in conjunction with other factors such as age and sex, may influence outcome (survival or death) in relation to several common southern sea otter diseases. Our findings can inform policy for conservation management, such as potential reintroduction efforts, as part of species recovery. </w:t>
      </w:r>
    </w:p>
    <w:p w14:paraId="40279A9F" w14:textId="77777777" w:rsidR="004F0598" w:rsidRPr="00C43760" w:rsidRDefault="004F0598" w:rsidP="004F0598">
      <w:pPr>
        <w:contextualSpacing/>
        <w:jc w:val="center"/>
        <w:rPr>
          <w:rFonts w:ascii="Times New Roman" w:hAnsi="Times New Roman" w:cs="Times New Roman"/>
          <w:b/>
          <w:bCs/>
          <w:sz w:val="20"/>
          <w:szCs w:val="20"/>
        </w:rPr>
      </w:pPr>
    </w:p>
    <w:p w14:paraId="4A639F13" w14:textId="77777777" w:rsidR="004F0598" w:rsidRPr="00C43760" w:rsidRDefault="004F0598" w:rsidP="004F0598">
      <w:pPr>
        <w:contextualSpacing/>
        <w:rPr>
          <w:rFonts w:ascii="Times New Roman" w:hAnsi="Times New Roman" w:cs="Times New Roman"/>
          <w:b/>
          <w:bCs/>
          <w:sz w:val="20"/>
          <w:szCs w:val="20"/>
        </w:rPr>
      </w:pPr>
      <w:r w:rsidRPr="00C43760">
        <w:rPr>
          <w:rFonts w:ascii="Times New Roman" w:hAnsi="Times New Roman" w:cs="Times New Roman"/>
          <w:b/>
          <w:bCs/>
          <w:sz w:val="20"/>
          <w:szCs w:val="20"/>
        </w:rPr>
        <w:t>Background:</w:t>
      </w:r>
    </w:p>
    <w:p w14:paraId="6ADA8985" w14:textId="77777777" w:rsidR="004F0598" w:rsidRPr="00C43760" w:rsidRDefault="004F0598" w:rsidP="004F0598">
      <w:pPr>
        <w:pStyle w:val="ListParagraph"/>
        <w:numPr>
          <w:ilvl w:val="0"/>
          <w:numId w:val="13"/>
        </w:numPr>
        <w:spacing w:after="200"/>
        <w:rPr>
          <w:rFonts w:ascii="Times New Roman" w:hAnsi="Times New Roman" w:cs="Times New Roman"/>
          <w:sz w:val="20"/>
          <w:szCs w:val="20"/>
        </w:rPr>
      </w:pPr>
      <w:r w:rsidRPr="00C43760">
        <w:rPr>
          <w:rFonts w:ascii="Times New Roman" w:hAnsi="Times New Roman" w:cs="Times New Roman"/>
          <w:sz w:val="20"/>
          <w:szCs w:val="20"/>
        </w:rPr>
        <w:t>Keystone species of pacific rim that due to fur trade hunt in 1800s → genetic bottleneck</w:t>
      </w:r>
    </w:p>
    <w:p w14:paraId="5CDAA98D" w14:textId="77777777" w:rsidR="004F0598" w:rsidRPr="00C43760" w:rsidRDefault="004F0598" w:rsidP="004F0598">
      <w:pPr>
        <w:pStyle w:val="ListParagraph"/>
        <w:numPr>
          <w:ilvl w:val="0"/>
          <w:numId w:val="13"/>
        </w:numPr>
        <w:spacing w:after="200"/>
        <w:rPr>
          <w:rFonts w:ascii="Times New Roman" w:hAnsi="Times New Roman" w:cs="Times New Roman"/>
          <w:sz w:val="20"/>
          <w:szCs w:val="20"/>
        </w:rPr>
      </w:pPr>
      <w:r w:rsidRPr="00C43760">
        <w:rPr>
          <w:rFonts w:ascii="Times New Roman" w:hAnsi="Times New Roman" w:cs="Times New Roman"/>
          <w:sz w:val="20"/>
          <w:szCs w:val="20"/>
        </w:rPr>
        <w:t>Defined common causes of morbidity and mortality: cardiomyopathy, acanthocephalan (</w:t>
      </w:r>
      <w:proofErr w:type="spellStart"/>
      <w:r w:rsidRPr="00C43760">
        <w:rPr>
          <w:rFonts w:ascii="Times New Roman" w:hAnsi="Times New Roman" w:cs="Times New Roman"/>
          <w:i/>
          <w:iCs/>
          <w:sz w:val="20"/>
          <w:szCs w:val="20"/>
        </w:rPr>
        <w:t>Profilicollis</w:t>
      </w:r>
      <w:proofErr w:type="spellEnd"/>
      <w:r w:rsidRPr="00C43760">
        <w:rPr>
          <w:rFonts w:ascii="Times New Roman" w:hAnsi="Times New Roman" w:cs="Times New Roman"/>
          <w:i/>
          <w:iCs/>
          <w:sz w:val="20"/>
          <w:szCs w:val="20"/>
        </w:rPr>
        <w:t xml:space="preserve"> spp</w:t>
      </w:r>
      <w:r w:rsidRPr="00C43760">
        <w:rPr>
          <w:rFonts w:ascii="Times New Roman" w:hAnsi="Times New Roman" w:cs="Times New Roman"/>
          <w:sz w:val="20"/>
          <w:szCs w:val="20"/>
        </w:rPr>
        <w:t xml:space="preserve">.) peritonitis, systemic protozoal infections with </w:t>
      </w:r>
      <w:r w:rsidRPr="00C43760">
        <w:rPr>
          <w:rFonts w:ascii="Times New Roman" w:hAnsi="Times New Roman" w:cs="Times New Roman"/>
          <w:i/>
          <w:iCs/>
          <w:sz w:val="20"/>
          <w:szCs w:val="20"/>
        </w:rPr>
        <w:t xml:space="preserve">Toxoplasma gondii </w:t>
      </w:r>
      <w:r w:rsidRPr="00C43760">
        <w:rPr>
          <w:rFonts w:ascii="Times New Roman" w:hAnsi="Times New Roman" w:cs="Times New Roman"/>
          <w:sz w:val="20"/>
          <w:szCs w:val="20"/>
        </w:rPr>
        <w:t>and</w:t>
      </w:r>
      <w:r w:rsidRPr="00C43760">
        <w:rPr>
          <w:rFonts w:ascii="Times New Roman" w:hAnsi="Times New Roman" w:cs="Times New Roman"/>
          <w:i/>
          <w:iCs/>
          <w:sz w:val="20"/>
          <w:szCs w:val="20"/>
        </w:rPr>
        <w:t xml:space="preserve"> </w:t>
      </w:r>
      <w:proofErr w:type="spellStart"/>
      <w:r w:rsidRPr="00C43760">
        <w:rPr>
          <w:rFonts w:ascii="Times New Roman" w:hAnsi="Times New Roman" w:cs="Times New Roman"/>
          <w:i/>
          <w:iCs/>
          <w:sz w:val="20"/>
          <w:szCs w:val="20"/>
        </w:rPr>
        <w:t>Sarcocystis</w:t>
      </w:r>
      <w:proofErr w:type="spellEnd"/>
      <w:r w:rsidRPr="00C43760">
        <w:rPr>
          <w:rFonts w:ascii="Times New Roman" w:hAnsi="Times New Roman" w:cs="Times New Roman"/>
          <w:i/>
          <w:iCs/>
          <w:sz w:val="20"/>
          <w:szCs w:val="20"/>
        </w:rPr>
        <w:t xml:space="preserve"> </w:t>
      </w:r>
      <w:proofErr w:type="spellStart"/>
      <w:r w:rsidRPr="00C43760">
        <w:rPr>
          <w:rFonts w:ascii="Times New Roman" w:hAnsi="Times New Roman" w:cs="Times New Roman"/>
          <w:i/>
          <w:iCs/>
          <w:sz w:val="20"/>
          <w:szCs w:val="20"/>
        </w:rPr>
        <w:t>neurona</w:t>
      </w:r>
      <w:proofErr w:type="spellEnd"/>
      <w:r w:rsidRPr="00C43760">
        <w:rPr>
          <w:rFonts w:ascii="Times New Roman" w:hAnsi="Times New Roman" w:cs="Times New Roman"/>
          <w:sz w:val="20"/>
          <w:szCs w:val="20"/>
        </w:rPr>
        <w:t>, domoic acid intoxication, end-lactation syndrome, and white shark (</w:t>
      </w:r>
      <w:r w:rsidRPr="00C43760">
        <w:rPr>
          <w:rFonts w:ascii="Times New Roman" w:hAnsi="Times New Roman" w:cs="Times New Roman"/>
          <w:i/>
          <w:iCs/>
          <w:sz w:val="20"/>
          <w:szCs w:val="20"/>
        </w:rPr>
        <w:t>Carcharodon carcharias</w:t>
      </w:r>
      <w:r w:rsidRPr="00C43760">
        <w:rPr>
          <w:rFonts w:ascii="Times New Roman" w:hAnsi="Times New Roman" w:cs="Times New Roman"/>
          <w:sz w:val="20"/>
          <w:szCs w:val="20"/>
        </w:rPr>
        <w:t xml:space="preserve">) bite </w:t>
      </w:r>
    </w:p>
    <w:p w14:paraId="4BA77857" w14:textId="77777777" w:rsidR="004F0598" w:rsidRPr="00C43760" w:rsidRDefault="004F0598" w:rsidP="004F0598">
      <w:pPr>
        <w:pStyle w:val="ListParagraph"/>
        <w:numPr>
          <w:ilvl w:val="1"/>
          <w:numId w:val="13"/>
        </w:numPr>
        <w:spacing w:after="200"/>
        <w:rPr>
          <w:rFonts w:ascii="Times New Roman" w:hAnsi="Times New Roman" w:cs="Times New Roman"/>
          <w:sz w:val="20"/>
          <w:szCs w:val="20"/>
        </w:rPr>
      </w:pPr>
      <w:r w:rsidRPr="00C43760">
        <w:rPr>
          <w:rFonts w:ascii="Times New Roman" w:hAnsi="Times New Roman" w:cs="Times New Roman"/>
          <w:sz w:val="20"/>
          <w:szCs w:val="20"/>
        </w:rPr>
        <w:t xml:space="preserve">Acanthocephalans are a helminth parasite (not nematode or trematode) that have a </w:t>
      </w:r>
      <w:proofErr w:type="gramStart"/>
      <w:r w:rsidRPr="00C43760">
        <w:rPr>
          <w:rFonts w:ascii="Times New Roman" w:hAnsi="Times New Roman" w:cs="Times New Roman"/>
          <w:sz w:val="20"/>
          <w:szCs w:val="20"/>
        </w:rPr>
        <w:t>proboscis/spines</w:t>
      </w:r>
      <w:proofErr w:type="gramEnd"/>
      <w:r w:rsidRPr="00C43760">
        <w:rPr>
          <w:rFonts w:ascii="Times New Roman" w:hAnsi="Times New Roman" w:cs="Times New Roman"/>
          <w:sz w:val="20"/>
          <w:szCs w:val="20"/>
        </w:rPr>
        <w:t xml:space="preserve"> → burrow thru GI wall causing peritonitis</w:t>
      </w:r>
    </w:p>
    <w:p w14:paraId="72C06D94" w14:textId="77777777" w:rsidR="004F0598" w:rsidRPr="00C43760" w:rsidRDefault="004F0598" w:rsidP="004F0598">
      <w:pPr>
        <w:pStyle w:val="ListParagraph"/>
        <w:numPr>
          <w:ilvl w:val="1"/>
          <w:numId w:val="13"/>
        </w:numPr>
        <w:spacing w:after="200"/>
        <w:rPr>
          <w:rFonts w:ascii="Times New Roman" w:hAnsi="Times New Roman" w:cs="Times New Roman"/>
          <w:sz w:val="20"/>
          <w:szCs w:val="20"/>
        </w:rPr>
      </w:pPr>
      <w:r w:rsidRPr="00C43760">
        <w:rPr>
          <w:rFonts w:ascii="Times New Roman" w:hAnsi="Times New Roman" w:cs="Times New Roman"/>
          <w:sz w:val="20"/>
          <w:szCs w:val="20"/>
        </w:rPr>
        <w:t>Domoic acid = algal toxin</w:t>
      </w:r>
    </w:p>
    <w:p w14:paraId="5B38CE03" w14:textId="77777777" w:rsidR="004F0598" w:rsidRPr="00C43760" w:rsidRDefault="004F0598" w:rsidP="004F0598">
      <w:pPr>
        <w:pStyle w:val="ListParagraph"/>
        <w:numPr>
          <w:ilvl w:val="1"/>
          <w:numId w:val="13"/>
        </w:numPr>
        <w:spacing w:after="200"/>
        <w:rPr>
          <w:rFonts w:ascii="Times New Roman" w:hAnsi="Times New Roman" w:cs="Times New Roman"/>
          <w:sz w:val="20"/>
          <w:szCs w:val="20"/>
        </w:rPr>
      </w:pPr>
      <w:r w:rsidRPr="00C43760">
        <w:rPr>
          <w:rFonts w:ascii="Times New Roman" w:hAnsi="Times New Roman" w:cs="Times New Roman"/>
          <w:sz w:val="20"/>
          <w:szCs w:val="20"/>
        </w:rPr>
        <w:t>End-lactation syndrome = maternal emaciation and death near the weaning period</w:t>
      </w:r>
    </w:p>
    <w:p w14:paraId="2D441DAF" w14:textId="77777777" w:rsidR="004F0598" w:rsidRPr="00C43760" w:rsidRDefault="004F0598" w:rsidP="004F0598">
      <w:pPr>
        <w:contextualSpacing/>
        <w:rPr>
          <w:rFonts w:ascii="Times New Roman" w:hAnsi="Times New Roman" w:cs="Times New Roman"/>
          <w:b/>
          <w:bCs/>
          <w:sz w:val="20"/>
          <w:szCs w:val="20"/>
        </w:rPr>
      </w:pPr>
      <w:r w:rsidRPr="00C43760">
        <w:rPr>
          <w:rFonts w:ascii="Times New Roman" w:hAnsi="Times New Roman" w:cs="Times New Roman"/>
          <w:b/>
          <w:bCs/>
          <w:sz w:val="20"/>
          <w:szCs w:val="20"/>
        </w:rPr>
        <w:t>Summary:</w:t>
      </w:r>
    </w:p>
    <w:p w14:paraId="29339F30" w14:textId="77777777" w:rsidR="004F0598" w:rsidRPr="00C43760" w:rsidRDefault="004F0598" w:rsidP="004F0598">
      <w:pPr>
        <w:pStyle w:val="ListParagraph"/>
        <w:numPr>
          <w:ilvl w:val="0"/>
          <w:numId w:val="12"/>
        </w:numPr>
        <w:spacing w:before="100" w:beforeAutospacing="1" w:after="100" w:afterAutospacing="1"/>
        <w:rPr>
          <w:rFonts w:ascii="Times New Roman" w:eastAsia="Times New Roman" w:hAnsi="Times New Roman" w:cs="Times New Roman"/>
          <w:sz w:val="20"/>
          <w:szCs w:val="20"/>
        </w:rPr>
      </w:pPr>
      <w:r w:rsidRPr="00C43760">
        <w:rPr>
          <w:rFonts w:ascii="Times New Roman" w:eastAsia="Times New Roman" w:hAnsi="Times New Roman" w:cs="Times New Roman"/>
          <w:sz w:val="20"/>
          <w:szCs w:val="20"/>
        </w:rPr>
        <w:t>Objective: low genetic diversity (degree of heterozygosity) may correlate with decreased fitness and increased disease susceptibility. Identify correlations between relatedness and known common causes of mortality using microsatellite DNA markers</w:t>
      </w:r>
    </w:p>
    <w:p w14:paraId="3C6EBB65" w14:textId="77777777" w:rsidR="004F0598" w:rsidRPr="00C43760" w:rsidRDefault="004F0598" w:rsidP="004F0598">
      <w:pPr>
        <w:pStyle w:val="ListParagraph"/>
        <w:numPr>
          <w:ilvl w:val="1"/>
          <w:numId w:val="12"/>
        </w:numPr>
        <w:spacing w:before="100" w:beforeAutospacing="1" w:after="100" w:afterAutospacing="1"/>
        <w:rPr>
          <w:rFonts w:ascii="Times New Roman" w:eastAsia="Times New Roman" w:hAnsi="Times New Roman" w:cs="Times New Roman"/>
          <w:sz w:val="20"/>
          <w:szCs w:val="20"/>
        </w:rPr>
      </w:pPr>
      <w:r w:rsidRPr="00C43760">
        <w:rPr>
          <w:rFonts w:ascii="Times New Roman" w:eastAsia="Times New Roman" w:hAnsi="Times New Roman" w:cs="Times New Roman"/>
          <w:sz w:val="20"/>
          <w:szCs w:val="20"/>
        </w:rPr>
        <w:t>Are individuals that share the same cause of mortality are more related than expected by chance (null)?</w:t>
      </w:r>
    </w:p>
    <w:p w14:paraId="7F17EC0D" w14:textId="77777777" w:rsidR="004F0598" w:rsidRPr="00C43760" w:rsidRDefault="004F0598" w:rsidP="004F0598">
      <w:pPr>
        <w:pStyle w:val="ListParagraph"/>
        <w:numPr>
          <w:ilvl w:val="2"/>
          <w:numId w:val="12"/>
        </w:numPr>
        <w:spacing w:before="100" w:beforeAutospacing="1" w:after="100" w:afterAutospacing="1"/>
        <w:rPr>
          <w:rFonts w:ascii="Times New Roman" w:eastAsia="Times New Roman" w:hAnsi="Times New Roman" w:cs="Times New Roman"/>
          <w:sz w:val="20"/>
          <w:szCs w:val="20"/>
        </w:rPr>
      </w:pPr>
      <w:r w:rsidRPr="00C43760">
        <w:rPr>
          <w:rFonts w:ascii="Times New Roman" w:eastAsia="Times New Roman" w:hAnsi="Times New Roman" w:cs="Times New Roman"/>
          <w:sz w:val="20"/>
          <w:szCs w:val="20"/>
        </w:rPr>
        <w:t xml:space="preserve">Hypothesis: for fatal cardiomyopathy, yes. For fatal parasitic and </w:t>
      </w:r>
      <w:r w:rsidRPr="00C43760">
        <w:rPr>
          <w:rFonts w:ascii="Times New Roman" w:eastAsia="Times New Roman" w:hAnsi="Times New Roman" w:cs="Times New Roman"/>
          <w:i/>
          <w:iCs/>
          <w:sz w:val="20"/>
          <w:szCs w:val="20"/>
        </w:rPr>
        <w:t xml:space="preserve">S. </w:t>
      </w:r>
      <w:proofErr w:type="spellStart"/>
      <w:r w:rsidRPr="00C43760">
        <w:rPr>
          <w:rFonts w:ascii="Times New Roman" w:eastAsia="Times New Roman" w:hAnsi="Times New Roman" w:cs="Times New Roman"/>
          <w:i/>
          <w:iCs/>
          <w:sz w:val="20"/>
          <w:szCs w:val="20"/>
        </w:rPr>
        <w:t>neurona</w:t>
      </w:r>
      <w:proofErr w:type="spellEnd"/>
      <w:r w:rsidRPr="00C43760">
        <w:rPr>
          <w:rFonts w:ascii="Times New Roman" w:eastAsia="Times New Roman" w:hAnsi="Times New Roman" w:cs="Times New Roman"/>
          <w:sz w:val="20"/>
          <w:szCs w:val="20"/>
        </w:rPr>
        <w:t xml:space="preserve"> infections yes due to specialization of prey types that may be intermediate hosts. All other described causes no, because they are common in this species and should not have a genetic propensity.</w:t>
      </w:r>
    </w:p>
    <w:p w14:paraId="53C7B12C" w14:textId="77777777" w:rsidR="004F0598" w:rsidRPr="00C43760" w:rsidRDefault="004F0598" w:rsidP="004F0598">
      <w:pPr>
        <w:pStyle w:val="ListParagraph"/>
        <w:numPr>
          <w:ilvl w:val="0"/>
          <w:numId w:val="12"/>
        </w:numPr>
        <w:spacing w:before="100" w:beforeAutospacing="1" w:after="100" w:afterAutospacing="1"/>
        <w:rPr>
          <w:rFonts w:ascii="Times New Roman" w:eastAsia="Times New Roman" w:hAnsi="Times New Roman" w:cs="Times New Roman"/>
          <w:sz w:val="20"/>
          <w:szCs w:val="20"/>
        </w:rPr>
      </w:pPr>
      <w:r w:rsidRPr="00C43760">
        <w:rPr>
          <w:rFonts w:ascii="Times New Roman" w:eastAsia="Times New Roman" w:hAnsi="Times New Roman" w:cs="Times New Roman"/>
          <w:sz w:val="20"/>
          <w:szCs w:val="20"/>
        </w:rPr>
        <w:t>N = 560 necropsies (1998-2012) assigned a primary and up to 3 contributing causes of death + demographic info where available. Using a previously developed microsatellite panel, 356/560 with necropsy + panel were ultimately included.</w:t>
      </w:r>
    </w:p>
    <w:p w14:paraId="2EE4C7F7" w14:textId="77777777" w:rsidR="004F0598" w:rsidRPr="00C43760" w:rsidRDefault="004F0598" w:rsidP="004F0598">
      <w:pPr>
        <w:pStyle w:val="ListParagraph"/>
        <w:numPr>
          <w:ilvl w:val="1"/>
          <w:numId w:val="12"/>
        </w:numPr>
        <w:spacing w:before="100" w:beforeAutospacing="1" w:after="100" w:afterAutospacing="1"/>
        <w:rPr>
          <w:rFonts w:ascii="Times New Roman" w:eastAsia="Times New Roman" w:hAnsi="Times New Roman" w:cs="Times New Roman"/>
          <w:sz w:val="20"/>
          <w:szCs w:val="20"/>
        </w:rPr>
      </w:pPr>
      <w:r w:rsidRPr="00C43760">
        <w:rPr>
          <w:rFonts w:ascii="Times New Roman" w:eastAsia="Times New Roman" w:hAnsi="Times New Roman" w:cs="Times New Roman"/>
          <w:sz w:val="20"/>
          <w:szCs w:val="20"/>
        </w:rPr>
        <w:t xml:space="preserve">Estimated age classes: subadult (1–3 </w:t>
      </w:r>
      <w:proofErr w:type="spellStart"/>
      <w:r w:rsidRPr="00C43760">
        <w:rPr>
          <w:rFonts w:ascii="Times New Roman" w:eastAsia="Times New Roman" w:hAnsi="Times New Roman" w:cs="Times New Roman"/>
          <w:sz w:val="20"/>
          <w:szCs w:val="20"/>
        </w:rPr>
        <w:t>yr</w:t>
      </w:r>
      <w:proofErr w:type="spellEnd"/>
      <w:r w:rsidRPr="00C43760">
        <w:rPr>
          <w:rFonts w:ascii="Times New Roman" w:eastAsia="Times New Roman" w:hAnsi="Times New Roman" w:cs="Times New Roman"/>
          <w:sz w:val="20"/>
          <w:szCs w:val="20"/>
        </w:rPr>
        <w:t xml:space="preserve"> old) and adult (&gt;4 YO), cardiomyopathy and end-lactation only assessed in adults</w:t>
      </w:r>
    </w:p>
    <w:p w14:paraId="19D8268D" w14:textId="77777777" w:rsidR="004F0598" w:rsidRDefault="004F0598" w:rsidP="004F0598">
      <w:pPr>
        <w:pStyle w:val="ListParagraph"/>
        <w:numPr>
          <w:ilvl w:val="1"/>
          <w:numId w:val="12"/>
        </w:numPr>
        <w:spacing w:before="100" w:beforeAutospacing="1" w:after="100" w:afterAutospacing="1"/>
        <w:rPr>
          <w:rFonts w:ascii="Times New Roman" w:eastAsia="Times New Roman" w:hAnsi="Times New Roman" w:cs="Times New Roman"/>
          <w:sz w:val="20"/>
          <w:szCs w:val="20"/>
        </w:rPr>
      </w:pPr>
      <w:r w:rsidRPr="00C43760">
        <w:rPr>
          <w:rFonts w:ascii="Times New Roman" w:eastAsia="Times New Roman" w:hAnsi="Times New Roman" w:cs="Times New Roman"/>
          <w:sz w:val="20"/>
          <w:szCs w:val="20"/>
        </w:rPr>
        <w:t xml:space="preserve">A necropsied otter was considered a negative control for a given condition if this condition was not noted as one of the primary or contributing causes of death. </w:t>
      </w:r>
    </w:p>
    <w:p w14:paraId="144B9E35" w14:textId="77777777" w:rsidR="004F0598" w:rsidRPr="00C43760" w:rsidRDefault="004F0598" w:rsidP="004F0598">
      <w:pPr>
        <w:pStyle w:val="ListParagraph"/>
        <w:numPr>
          <w:ilvl w:val="1"/>
          <w:numId w:val="12"/>
        </w:numPr>
        <w:spacing w:before="100" w:beforeAutospacing="1" w:after="100" w:afterAutospacing="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MV logistic regression with sex as a predictor, pairwise relatedness </w:t>
      </w:r>
    </w:p>
    <w:p w14:paraId="34010676" w14:textId="77777777" w:rsidR="004F0598" w:rsidRPr="00C43760" w:rsidRDefault="004F0598" w:rsidP="004F0598">
      <w:pPr>
        <w:pStyle w:val="ListParagraph"/>
        <w:numPr>
          <w:ilvl w:val="0"/>
          <w:numId w:val="12"/>
        </w:numPr>
        <w:spacing w:before="100" w:beforeAutospacing="1" w:after="100" w:afterAutospacing="1"/>
        <w:rPr>
          <w:rFonts w:ascii="Times New Roman" w:eastAsia="Times New Roman" w:hAnsi="Times New Roman" w:cs="Times New Roman"/>
          <w:sz w:val="20"/>
          <w:szCs w:val="20"/>
        </w:rPr>
      </w:pPr>
      <w:r w:rsidRPr="00C43760">
        <w:rPr>
          <w:rFonts w:ascii="Times New Roman" w:eastAsia="Times New Roman" w:hAnsi="Times New Roman" w:cs="Times New Roman"/>
          <w:sz w:val="20"/>
          <w:szCs w:val="20"/>
        </w:rPr>
        <w:t xml:space="preserve">Significant associations with relatedness or individual genetic diversity were observed for cardiomyopathies, acanthocephalan peritonitis, and </w:t>
      </w:r>
      <w:proofErr w:type="spellStart"/>
      <w:r w:rsidRPr="00C43760">
        <w:rPr>
          <w:rFonts w:ascii="Times New Roman" w:eastAsia="Times New Roman" w:hAnsi="Times New Roman" w:cs="Times New Roman"/>
          <w:sz w:val="20"/>
          <w:szCs w:val="20"/>
        </w:rPr>
        <w:t>sarcocystosis</w:t>
      </w:r>
      <w:proofErr w:type="spellEnd"/>
    </w:p>
    <w:p w14:paraId="2661A0FB" w14:textId="77777777" w:rsidR="004F0598" w:rsidRDefault="004F0598" w:rsidP="004F0598">
      <w:pPr>
        <w:pStyle w:val="ListParagraph"/>
        <w:numPr>
          <w:ilvl w:val="1"/>
          <w:numId w:val="12"/>
        </w:numPr>
        <w:spacing w:before="100" w:beforeAutospacing="1" w:after="100" w:afterAutospacing="1"/>
        <w:rPr>
          <w:rFonts w:ascii="Times New Roman" w:eastAsia="Times New Roman" w:hAnsi="Times New Roman" w:cs="Times New Roman"/>
          <w:sz w:val="20"/>
          <w:szCs w:val="20"/>
        </w:rPr>
      </w:pPr>
      <w:r w:rsidRPr="00C43760">
        <w:rPr>
          <w:rFonts w:ascii="Times New Roman" w:eastAsia="Times New Roman" w:hAnsi="Times New Roman" w:cs="Times New Roman"/>
          <w:sz w:val="20"/>
          <w:szCs w:val="20"/>
        </w:rPr>
        <w:t>Cardiomyopathy: males &gt; females</w:t>
      </w:r>
    </w:p>
    <w:p w14:paraId="0A6974EF" w14:textId="77777777" w:rsidR="004F0598" w:rsidRDefault="004F0598" w:rsidP="004F0598">
      <w:pPr>
        <w:pStyle w:val="ListParagraph"/>
        <w:numPr>
          <w:ilvl w:val="0"/>
          <w:numId w:val="12"/>
        </w:numPr>
        <w:spacing w:before="100" w:beforeAutospacing="1" w:after="100" w:afterAutospacing="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Cardiomyopathy: </w:t>
      </w:r>
      <w:r w:rsidRPr="00C43760">
        <w:rPr>
          <w:rFonts w:ascii="Times New Roman" w:eastAsia="Times New Roman" w:hAnsi="Times New Roman" w:cs="Times New Roman"/>
          <w:sz w:val="20"/>
          <w:szCs w:val="20"/>
        </w:rPr>
        <w:t xml:space="preserve">MV logistic regression did not find sex to be a significant predictor for fatal cardiomyopathy, consistent with previous studies. Pairwise relatedness results however suggest that there may be some degree of sex-specific genetic variation associated with cardiomyopathy. </w:t>
      </w:r>
    </w:p>
    <w:p w14:paraId="0AB7ADB3" w14:textId="77777777" w:rsidR="004F0598" w:rsidRDefault="004F0598" w:rsidP="004F0598">
      <w:pPr>
        <w:pStyle w:val="ListParagraph"/>
        <w:numPr>
          <w:ilvl w:val="0"/>
          <w:numId w:val="12"/>
        </w:numPr>
        <w:spacing w:before="100" w:beforeAutospacing="1" w:after="100" w:afterAutospacing="1"/>
        <w:rPr>
          <w:rFonts w:ascii="Times New Roman" w:eastAsia="Times New Roman" w:hAnsi="Times New Roman" w:cs="Times New Roman"/>
          <w:sz w:val="20"/>
          <w:szCs w:val="20"/>
        </w:rPr>
      </w:pPr>
      <w:r>
        <w:rPr>
          <w:rFonts w:ascii="Times New Roman" w:eastAsia="Times New Roman" w:hAnsi="Times New Roman" w:cs="Times New Roman"/>
          <w:sz w:val="20"/>
          <w:szCs w:val="20"/>
        </w:rPr>
        <w:t>Acanthocephalans: Female southern sea otter CONTROLS were more genetically related than null expectation, possible protective genetic factor from fatal peritonitis. However, parasite distribution is patchy and sampling bias may have occurred, where related individuals existed in the same areas and were coincidentally, not exposed to high acanthocephalan regions</w:t>
      </w:r>
    </w:p>
    <w:p w14:paraId="438F5A55" w14:textId="77777777" w:rsidR="004F0598" w:rsidRDefault="004F0598" w:rsidP="004F0598">
      <w:pPr>
        <w:pStyle w:val="ListParagraph"/>
        <w:numPr>
          <w:ilvl w:val="1"/>
          <w:numId w:val="12"/>
        </w:numPr>
        <w:spacing w:before="100" w:beforeAutospacing="1" w:after="100" w:afterAutospacing="1"/>
        <w:rPr>
          <w:rFonts w:ascii="Times New Roman" w:eastAsia="Times New Roman" w:hAnsi="Times New Roman" w:cs="Times New Roman"/>
          <w:sz w:val="20"/>
          <w:szCs w:val="20"/>
        </w:rPr>
      </w:pPr>
      <w:r w:rsidRPr="00C43760">
        <w:rPr>
          <w:rFonts w:ascii="Times New Roman" w:eastAsia="Times New Roman" w:hAnsi="Times New Roman" w:cs="Times New Roman"/>
          <w:sz w:val="20"/>
          <w:szCs w:val="20"/>
        </w:rPr>
        <w:t>higher individual genetic diversity increased risk of death from acanthocephalan peritonitis, which contradicted our initial hypothesis</w:t>
      </w:r>
      <w:r>
        <w:rPr>
          <w:rFonts w:ascii="Times New Roman" w:eastAsia="Times New Roman" w:hAnsi="Times New Roman" w:cs="Times New Roman"/>
          <w:sz w:val="20"/>
          <w:szCs w:val="20"/>
        </w:rPr>
        <w:t xml:space="preserve"> – likely that the region is third factor</w:t>
      </w:r>
    </w:p>
    <w:p w14:paraId="6D895275" w14:textId="77777777" w:rsidR="004F0598" w:rsidRDefault="004F0598" w:rsidP="004F0598">
      <w:pPr>
        <w:pStyle w:val="ListParagraph"/>
        <w:numPr>
          <w:ilvl w:val="0"/>
          <w:numId w:val="12"/>
        </w:numPr>
        <w:spacing w:before="100" w:beforeAutospacing="1" w:after="100" w:afterAutospacing="1"/>
        <w:rPr>
          <w:rFonts w:ascii="Times New Roman" w:eastAsia="Times New Roman" w:hAnsi="Times New Roman" w:cs="Times New Roman"/>
          <w:sz w:val="20"/>
          <w:szCs w:val="20"/>
        </w:rPr>
      </w:pPr>
      <w:r>
        <w:rPr>
          <w:rFonts w:ascii="Times New Roman" w:eastAsia="Times New Roman" w:hAnsi="Times New Roman" w:cs="Times New Roman"/>
          <w:sz w:val="20"/>
          <w:szCs w:val="20"/>
        </w:rPr>
        <w:t>LR: M</w:t>
      </w:r>
      <w:r w:rsidRPr="00C43760">
        <w:rPr>
          <w:rFonts w:ascii="Times New Roman" w:eastAsia="Times New Roman" w:hAnsi="Times New Roman" w:cs="Times New Roman"/>
          <w:sz w:val="20"/>
          <w:szCs w:val="20"/>
        </w:rPr>
        <w:t xml:space="preserve">ales were at higher odds of dying from </w:t>
      </w:r>
      <w:proofErr w:type="spellStart"/>
      <w:r w:rsidRPr="00C43760">
        <w:rPr>
          <w:rFonts w:ascii="Times New Roman" w:eastAsia="Times New Roman" w:hAnsi="Times New Roman" w:cs="Times New Roman"/>
          <w:sz w:val="20"/>
          <w:szCs w:val="20"/>
        </w:rPr>
        <w:t>sarcocystosis</w:t>
      </w:r>
      <w:proofErr w:type="spellEnd"/>
      <w:r w:rsidRPr="00C43760">
        <w:rPr>
          <w:rFonts w:ascii="Times New Roman" w:eastAsia="Times New Roman" w:hAnsi="Times New Roman" w:cs="Times New Roman"/>
          <w:sz w:val="20"/>
          <w:szCs w:val="20"/>
        </w:rPr>
        <w:t xml:space="preserve"> compared with females, although this was not significant (P</w:t>
      </w:r>
      <w:r>
        <w:rPr>
          <w:rFonts w:ascii="Times New Roman" w:eastAsia="Times New Roman" w:hAnsi="Times New Roman" w:cs="Times New Roman"/>
          <w:sz w:val="20"/>
          <w:szCs w:val="20"/>
        </w:rPr>
        <w:t>=</w:t>
      </w:r>
      <w:r w:rsidRPr="00C43760">
        <w:rPr>
          <w:rFonts w:ascii="Times New Roman" w:eastAsia="Times New Roman" w:hAnsi="Times New Roman" w:cs="Times New Roman"/>
          <w:sz w:val="20"/>
          <w:szCs w:val="20"/>
        </w:rPr>
        <w:t>0.09).</w:t>
      </w:r>
      <w:r>
        <w:rPr>
          <w:rFonts w:ascii="Times New Roman" w:eastAsia="Times New Roman" w:hAnsi="Times New Roman" w:cs="Times New Roman"/>
          <w:sz w:val="20"/>
          <w:szCs w:val="20"/>
        </w:rPr>
        <w:t xml:space="preserve"> This is consistent with previous studies.</w:t>
      </w:r>
    </w:p>
    <w:p w14:paraId="482D3BB4" w14:textId="77777777" w:rsidR="004F0598" w:rsidRDefault="004F0598" w:rsidP="004F0598">
      <w:pPr>
        <w:contextualSpacing/>
        <w:rPr>
          <w:rFonts w:ascii="Times New Roman" w:hAnsi="Times New Roman" w:cs="Times New Roman"/>
          <w:b/>
          <w:bCs/>
          <w:sz w:val="20"/>
          <w:szCs w:val="20"/>
        </w:rPr>
      </w:pPr>
      <w:r w:rsidRPr="00C43760">
        <w:rPr>
          <w:rFonts w:ascii="Times New Roman" w:hAnsi="Times New Roman" w:cs="Times New Roman"/>
          <w:b/>
          <w:bCs/>
          <w:sz w:val="20"/>
          <w:szCs w:val="20"/>
        </w:rPr>
        <w:t>Take Home Points:</w:t>
      </w:r>
      <w:r>
        <w:rPr>
          <w:rFonts w:ascii="Times New Roman" w:hAnsi="Times New Roman" w:cs="Times New Roman"/>
          <w:b/>
          <w:bCs/>
          <w:sz w:val="20"/>
          <w:szCs w:val="20"/>
        </w:rPr>
        <w:t xml:space="preserve"> Male southern sea otters may be genetically pre-disposed to fatal cardiomyopathy, where females may carry a genetic factor that is protective (X-linked, as is reported in humans and NHP). Females may also carry a protective genetic factor for Acanthocephalans. The finding was not significant, but males were at a </w:t>
      </w:r>
      <w:proofErr w:type="gramStart"/>
      <w:r>
        <w:rPr>
          <w:rFonts w:ascii="Times New Roman" w:hAnsi="Times New Roman" w:cs="Times New Roman"/>
          <w:b/>
          <w:bCs/>
          <w:sz w:val="20"/>
          <w:szCs w:val="20"/>
        </w:rPr>
        <w:t>higher odds</w:t>
      </w:r>
      <w:proofErr w:type="gramEnd"/>
      <w:r>
        <w:rPr>
          <w:rFonts w:ascii="Times New Roman" w:hAnsi="Times New Roman" w:cs="Times New Roman"/>
          <w:b/>
          <w:bCs/>
          <w:sz w:val="20"/>
          <w:szCs w:val="20"/>
        </w:rPr>
        <w:t xml:space="preserve"> than females of dying from </w:t>
      </w:r>
      <w:proofErr w:type="spellStart"/>
      <w:r>
        <w:rPr>
          <w:rFonts w:ascii="Times New Roman" w:hAnsi="Times New Roman" w:cs="Times New Roman"/>
          <w:b/>
          <w:bCs/>
          <w:sz w:val="20"/>
          <w:szCs w:val="20"/>
        </w:rPr>
        <w:t>sarcocystosis</w:t>
      </w:r>
      <w:proofErr w:type="spellEnd"/>
      <w:r>
        <w:rPr>
          <w:rFonts w:ascii="Times New Roman" w:hAnsi="Times New Roman" w:cs="Times New Roman"/>
          <w:b/>
          <w:bCs/>
          <w:sz w:val="20"/>
          <w:szCs w:val="20"/>
        </w:rPr>
        <w:t>.</w:t>
      </w:r>
    </w:p>
    <w:p w14:paraId="0A584322" w14:textId="77777777" w:rsidR="004F0598" w:rsidRPr="00C43760" w:rsidRDefault="004F0598" w:rsidP="004F0598">
      <w:pPr>
        <w:contextualSpacing/>
        <w:rPr>
          <w:rFonts w:ascii="Times New Roman" w:hAnsi="Times New Roman" w:cs="Times New Roman"/>
          <w:b/>
          <w:bCs/>
          <w:sz w:val="20"/>
          <w:szCs w:val="20"/>
        </w:rPr>
      </w:pPr>
    </w:p>
    <w:p w14:paraId="7714218D" w14:textId="77777777" w:rsidR="004F0598" w:rsidRPr="00C43760" w:rsidRDefault="004F0598" w:rsidP="004F0598">
      <w:pPr>
        <w:spacing w:before="100" w:beforeAutospacing="1" w:after="100" w:afterAutospacing="1"/>
        <w:rPr>
          <w:rFonts w:ascii="Times New Roman" w:eastAsia="Times New Roman" w:hAnsi="Times New Roman" w:cs="Times New Roman"/>
          <w:sz w:val="20"/>
          <w:szCs w:val="20"/>
        </w:rPr>
      </w:pPr>
      <w:r>
        <w:rPr>
          <w:rFonts w:ascii="Times New Roman" w:eastAsia="Times New Roman" w:hAnsi="Times New Roman" w:cs="Times New Roman"/>
          <w:noProof/>
          <w:sz w:val="20"/>
          <w:szCs w:val="20"/>
        </w:rPr>
        <w:lastRenderedPageBreak/>
        <w:drawing>
          <wp:inline distT="0" distB="0" distL="0" distR="0" wp14:anchorId="5A5812E2" wp14:editId="7FD96142">
            <wp:extent cx="6400800" cy="3333115"/>
            <wp:effectExtent l="0" t="0" r="0" b="0"/>
            <wp:docPr id="1944517244" name="Picture 10" descr="A black and white tex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517244" name="Picture 1" descr="A black and white text with black tex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6400800" cy="3333115"/>
                    </a:xfrm>
                    <a:prstGeom prst="rect">
                      <a:avLst/>
                    </a:prstGeom>
                  </pic:spPr>
                </pic:pic>
              </a:graphicData>
            </a:graphic>
          </wp:inline>
        </w:drawing>
      </w:r>
    </w:p>
    <w:p w14:paraId="2C277258" w14:textId="77777777" w:rsidR="004F0598" w:rsidRDefault="004F0598" w:rsidP="00D31F31"/>
    <w:sectPr w:rsidR="004F059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2AFF" w:usb1="C000247B" w:usb2="00000009" w:usb3="00000000" w:csb0="000001FF" w:csb1="00000000"/>
  </w:font>
  <w:font w:name="Noto Sans Symbols">
    <w:altName w:val="Times New Roman"/>
    <w:panose1 w:val="020B0604020202020204"/>
    <w:charset w:val="00"/>
    <w:family w:val="auto"/>
    <w:pitch w:val="default"/>
  </w:font>
  <w:font w:name="Aptos Display">
    <w:panose1 w:val="020B0004020202020204"/>
    <w:charset w:val="00"/>
    <w:family w:val="swiss"/>
    <w:pitch w:val="variable"/>
    <w:sig w:usb0="20000287" w:usb1="00000003" w:usb2="00000000" w:usb3="00000000" w:csb0="0000019F" w:csb1="00000000"/>
  </w:font>
  <w:font w:name="Cardo">
    <w:altName w:val="Calibri"/>
    <w:panose1 w:val="020B0604020202020204"/>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84C59"/>
    <w:multiLevelType w:val="multilevel"/>
    <w:tmpl w:val="84402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C53D97"/>
    <w:multiLevelType w:val="hybridMultilevel"/>
    <w:tmpl w:val="F5FEDD08"/>
    <w:lvl w:ilvl="0" w:tplc="418ACB1E">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1D5260"/>
    <w:multiLevelType w:val="hybridMultilevel"/>
    <w:tmpl w:val="F062A75E"/>
    <w:lvl w:ilvl="0" w:tplc="A656AA32">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6A358D"/>
    <w:multiLevelType w:val="multilevel"/>
    <w:tmpl w:val="61B25D9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CD467F"/>
    <w:multiLevelType w:val="hybridMultilevel"/>
    <w:tmpl w:val="22C4122E"/>
    <w:lvl w:ilvl="0" w:tplc="FC5E5360">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151057"/>
    <w:multiLevelType w:val="multilevel"/>
    <w:tmpl w:val="0E82D4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267048D6"/>
    <w:multiLevelType w:val="multilevel"/>
    <w:tmpl w:val="D8DE483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A0A6A3B"/>
    <w:multiLevelType w:val="multilevel"/>
    <w:tmpl w:val="5DEE0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2E469B"/>
    <w:multiLevelType w:val="hybridMultilevel"/>
    <w:tmpl w:val="C952D8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9738E6"/>
    <w:multiLevelType w:val="multilevel"/>
    <w:tmpl w:val="30A488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92B4246"/>
    <w:multiLevelType w:val="multilevel"/>
    <w:tmpl w:val="5B7631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5EF35FD3"/>
    <w:multiLevelType w:val="hybridMultilevel"/>
    <w:tmpl w:val="68F2ACA4"/>
    <w:lvl w:ilvl="0" w:tplc="BD52620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81C4F4F"/>
    <w:multiLevelType w:val="multilevel"/>
    <w:tmpl w:val="90662C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4562540">
    <w:abstractNumId w:val="2"/>
  </w:num>
  <w:num w:numId="2" w16cid:durableId="2128114658">
    <w:abstractNumId w:val="4"/>
  </w:num>
  <w:num w:numId="3" w16cid:durableId="394160032">
    <w:abstractNumId w:val="3"/>
  </w:num>
  <w:num w:numId="4" w16cid:durableId="939410941">
    <w:abstractNumId w:val="6"/>
  </w:num>
  <w:num w:numId="5" w16cid:durableId="974068317">
    <w:abstractNumId w:val="5"/>
  </w:num>
  <w:num w:numId="6" w16cid:durableId="2066828458">
    <w:abstractNumId w:val="7"/>
  </w:num>
  <w:num w:numId="7" w16cid:durableId="1751078747">
    <w:abstractNumId w:val="0"/>
  </w:num>
  <w:num w:numId="8" w16cid:durableId="181089961">
    <w:abstractNumId w:val="8"/>
  </w:num>
  <w:num w:numId="9" w16cid:durableId="931402662">
    <w:abstractNumId w:val="10"/>
  </w:num>
  <w:num w:numId="10" w16cid:durableId="96028889">
    <w:abstractNumId w:val="9"/>
  </w:num>
  <w:num w:numId="11" w16cid:durableId="7754861">
    <w:abstractNumId w:val="12"/>
  </w:num>
  <w:num w:numId="12" w16cid:durableId="741561437">
    <w:abstractNumId w:val="11"/>
  </w:num>
  <w:num w:numId="13" w16cid:durableId="9263825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08B2"/>
    <w:rsid w:val="000A27E4"/>
    <w:rsid w:val="00300D42"/>
    <w:rsid w:val="004B7F1A"/>
    <w:rsid w:val="004F0598"/>
    <w:rsid w:val="00553996"/>
    <w:rsid w:val="00695472"/>
    <w:rsid w:val="008479F3"/>
    <w:rsid w:val="009608B2"/>
    <w:rsid w:val="00987DBB"/>
    <w:rsid w:val="00D31F31"/>
    <w:rsid w:val="00D76261"/>
    <w:rsid w:val="00DF58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F931EA"/>
  <w15:chartTrackingRefBased/>
  <w15:docId w15:val="{49E554D3-7998-2341-A8A5-93B528CA6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1F31"/>
  </w:style>
  <w:style w:type="paragraph" w:styleId="Heading1">
    <w:name w:val="heading 1"/>
    <w:basedOn w:val="Normal"/>
    <w:next w:val="Normal"/>
    <w:link w:val="Heading1Char"/>
    <w:uiPriority w:val="9"/>
    <w:qFormat/>
    <w:rsid w:val="009608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608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608B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608B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608B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608B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08B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08B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08B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08B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608B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608B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608B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608B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608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08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08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08B2"/>
    <w:rPr>
      <w:rFonts w:eastAsiaTheme="majorEastAsia" w:cstheme="majorBidi"/>
      <w:color w:val="272727" w:themeColor="text1" w:themeTint="D8"/>
    </w:rPr>
  </w:style>
  <w:style w:type="paragraph" w:styleId="Title">
    <w:name w:val="Title"/>
    <w:basedOn w:val="Normal"/>
    <w:next w:val="Normal"/>
    <w:link w:val="TitleChar"/>
    <w:uiPriority w:val="10"/>
    <w:qFormat/>
    <w:rsid w:val="009608B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08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08B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08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08B2"/>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608B2"/>
    <w:rPr>
      <w:i/>
      <w:iCs/>
      <w:color w:val="404040" w:themeColor="text1" w:themeTint="BF"/>
    </w:rPr>
  </w:style>
  <w:style w:type="paragraph" w:styleId="ListParagraph">
    <w:name w:val="List Paragraph"/>
    <w:basedOn w:val="Normal"/>
    <w:uiPriority w:val="34"/>
    <w:qFormat/>
    <w:rsid w:val="009608B2"/>
    <w:pPr>
      <w:ind w:left="720"/>
      <w:contextualSpacing/>
    </w:pPr>
  </w:style>
  <w:style w:type="character" w:styleId="IntenseEmphasis">
    <w:name w:val="Intense Emphasis"/>
    <w:basedOn w:val="DefaultParagraphFont"/>
    <w:uiPriority w:val="21"/>
    <w:qFormat/>
    <w:rsid w:val="009608B2"/>
    <w:rPr>
      <w:i/>
      <w:iCs/>
      <w:color w:val="0F4761" w:themeColor="accent1" w:themeShade="BF"/>
    </w:rPr>
  </w:style>
  <w:style w:type="paragraph" w:styleId="IntenseQuote">
    <w:name w:val="Intense Quote"/>
    <w:basedOn w:val="Normal"/>
    <w:next w:val="Normal"/>
    <w:link w:val="IntenseQuoteChar"/>
    <w:uiPriority w:val="30"/>
    <w:qFormat/>
    <w:rsid w:val="009608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608B2"/>
    <w:rPr>
      <w:i/>
      <w:iCs/>
      <w:color w:val="0F4761" w:themeColor="accent1" w:themeShade="BF"/>
    </w:rPr>
  </w:style>
  <w:style w:type="character" w:styleId="IntenseReference">
    <w:name w:val="Intense Reference"/>
    <w:basedOn w:val="DefaultParagraphFont"/>
    <w:uiPriority w:val="32"/>
    <w:qFormat/>
    <w:rsid w:val="009608B2"/>
    <w:rPr>
      <w:b/>
      <w:bCs/>
      <w:smallCaps/>
      <w:color w:val="0F4761" w:themeColor="accent1" w:themeShade="BF"/>
      <w:spacing w:val="5"/>
    </w:rPr>
  </w:style>
  <w:style w:type="paragraph" w:styleId="NormalWeb">
    <w:name w:val="Normal (Web)"/>
    <w:basedOn w:val="Normal"/>
    <w:uiPriority w:val="99"/>
    <w:unhideWhenUsed/>
    <w:rsid w:val="00D31F31"/>
    <w:pPr>
      <w:spacing w:before="100" w:beforeAutospacing="1" w:after="100" w:afterAutospacing="1"/>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5501</Words>
  <Characters>31356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Martinelli</dc:creator>
  <cp:keywords/>
  <dc:description/>
  <cp:lastModifiedBy>Tara Myers Harrison</cp:lastModifiedBy>
  <cp:revision>2</cp:revision>
  <dcterms:created xsi:type="dcterms:W3CDTF">2024-11-05T15:57:00Z</dcterms:created>
  <dcterms:modified xsi:type="dcterms:W3CDTF">2024-11-05T15:57:00Z</dcterms:modified>
</cp:coreProperties>
</file>