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55E60" w14:textId="77777777" w:rsidR="00EC6A45" w:rsidRDefault="00EC6A45" w:rsidP="00EC6A45">
      <w:pPr>
        <w:rPr>
          <w:rFonts w:ascii="Calibri" w:hAnsi="Calibri" w:cs="Calibri"/>
          <w:sz w:val="22"/>
          <w:szCs w:val="22"/>
        </w:rPr>
      </w:pPr>
      <w:r w:rsidRPr="006C30F4">
        <w:rPr>
          <w:rFonts w:ascii="Calibri" w:hAnsi="Calibri" w:cs="Calibri"/>
          <w:b/>
          <w:bCs/>
          <w:sz w:val="22"/>
          <w:szCs w:val="22"/>
        </w:rPr>
        <w:t>Question:</w:t>
      </w:r>
      <w:r>
        <w:rPr>
          <w:rFonts w:ascii="Calibri" w:hAnsi="Calibri" w:cs="Calibri"/>
          <w:b/>
          <w:bCs/>
          <w:sz w:val="22"/>
          <w:szCs w:val="22"/>
        </w:rPr>
        <w:t xml:space="preserve"> </w:t>
      </w:r>
      <w:r w:rsidRPr="00A0689F">
        <w:rPr>
          <w:rFonts w:ascii="Calibri" w:hAnsi="Calibri" w:cs="Calibri"/>
          <w:sz w:val="22"/>
          <w:szCs w:val="22"/>
        </w:rPr>
        <w:t>What is the most common filamentous fungi isolated</w:t>
      </w:r>
      <w:r>
        <w:rPr>
          <w:rFonts w:ascii="Calibri" w:hAnsi="Calibri" w:cs="Calibri"/>
          <w:sz w:val="22"/>
          <w:szCs w:val="22"/>
        </w:rPr>
        <w:t xml:space="preserve"> specifically</w:t>
      </w:r>
      <w:r w:rsidRPr="00A0689F">
        <w:rPr>
          <w:rFonts w:ascii="Calibri" w:hAnsi="Calibri" w:cs="Calibri"/>
          <w:sz w:val="22"/>
          <w:szCs w:val="22"/>
        </w:rPr>
        <w:t xml:space="preserve"> from the rectum of Amazonian manatees in rehabilitation?</w:t>
      </w:r>
    </w:p>
    <w:p w14:paraId="2A226D48" w14:textId="77777777" w:rsidR="00EC6A45" w:rsidRPr="00A0689F" w:rsidRDefault="00EC6A45" w:rsidP="00EC6A45">
      <w:pPr>
        <w:pStyle w:val="ListParagraph"/>
        <w:numPr>
          <w:ilvl w:val="0"/>
          <w:numId w:val="1"/>
        </w:numPr>
        <w:rPr>
          <w:rFonts w:ascii="Calibri" w:hAnsi="Calibri" w:cs="Calibri"/>
          <w:i/>
          <w:iCs/>
          <w:sz w:val="22"/>
          <w:szCs w:val="22"/>
        </w:rPr>
      </w:pPr>
      <w:r w:rsidRPr="00A0689F">
        <w:rPr>
          <w:rFonts w:ascii="Calibri" w:hAnsi="Calibri" w:cs="Calibri"/>
          <w:i/>
          <w:iCs/>
          <w:sz w:val="22"/>
          <w:szCs w:val="22"/>
        </w:rPr>
        <w:t>Penicillium sp.</w:t>
      </w:r>
    </w:p>
    <w:p w14:paraId="05C725EC" w14:textId="77777777" w:rsidR="00EC6A45" w:rsidRPr="00A0689F" w:rsidRDefault="00EC6A45" w:rsidP="00EC6A45">
      <w:pPr>
        <w:pStyle w:val="ListParagraph"/>
        <w:numPr>
          <w:ilvl w:val="0"/>
          <w:numId w:val="1"/>
        </w:numPr>
        <w:rPr>
          <w:rFonts w:ascii="Calibri" w:hAnsi="Calibri" w:cs="Calibri"/>
          <w:i/>
          <w:iCs/>
          <w:sz w:val="22"/>
          <w:szCs w:val="22"/>
        </w:rPr>
      </w:pPr>
      <w:r w:rsidRPr="00A0689F">
        <w:rPr>
          <w:rFonts w:ascii="Calibri" w:hAnsi="Calibri" w:cs="Calibri"/>
          <w:i/>
          <w:iCs/>
          <w:sz w:val="22"/>
          <w:szCs w:val="22"/>
        </w:rPr>
        <w:t>Fusarium sp.</w:t>
      </w:r>
    </w:p>
    <w:p w14:paraId="44067C24" w14:textId="77777777" w:rsidR="00EC6A45" w:rsidRPr="00A0689F" w:rsidRDefault="00EC6A45" w:rsidP="00EC6A45">
      <w:pPr>
        <w:pStyle w:val="ListParagraph"/>
        <w:numPr>
          <w:ilvl w:val="0"/>
          <w:numId w:val="1"/>
        </w:numPr>
        <w:rPr>
          <w:rFonts w:ascii="Calibri" w:hAnsi="Calibri" w:cs="Calibri"/>
          <w:i/>
          <w:iCs/>
          <w:sz w:val="22"/>
          <w:szCs w:val="22"/>
        </w:rPr>
      </w:pPr>
      <w:proofErr w:type="spellStart"/>
      <w:r w:rsidRPr="00A0689F">
        <w:rPr>
          <w:rFonts w:ascii="Calibri" w:hAnsi="Calibri" w:cs="Calibri"/>
          <w:i/>
          <w:iCs/>
          <w:sz w:val="22"/>
          <w:szCs w:val="22"/>
        </w:rPr>
        <w:t>Cochliobolus</w:t>
      </w:r>
      <w:proofErr w:type="spellEnd"/>
      <w:r w:rsidRPr="00A0689F">
        <w:rPr>
          <w:rFonts w:ascii="Calibri" w:hAnsi="Calibri" w:cs="Calibri"/>
          <w:i/>
          <w:iCs/>
          <w:sz w:val="22"/>
          <w:szCs w:val="22"/>
        </w:rPr>
        <w:t xml:space="preserve"> sp. </w:t>
      </w:r>
    </w:p>
    <w:p w14:paraId="47D54DC4" w14:textId="77777777" w:rsidR="00EC6A45" w:rsidRPr="00A0689F" w:rsidRDefault="00EC6A45" w:rsidP="00EC6A45">
      <w:pPr>
        <w:pStyle w:val="ListParagraph"/>
        <w:numPr>
          <w:ilvl w:val="0"/>
          <w:numId w:val="1"/>
        </w:numPr>
        <w:rPr>
          <w:rFonts w:ascii="Calibri" w:hAnsi="Calibri" w:cs="Calibri"/>
          <w:i/>
          <w:iCs/>
          <w:sz w:val="22"/>
          <w:szCs w:val="22"/>
        </w:rPr>
      </w:pPr>
      <w:r w:rsidRPr="00A0689F">
        <w:rPr>
          <w:rFonts w:ascii="Calibri" w:hAnsi="Calibri" w:cs="Calibri"/>
          <w:i/>
          <w:iCs/>
          <w:sz w:val="22"/>
          <w:szCs w:val="22"/>
        </w:rPr>
        <w:t xml:space="preserve">Aspergillus sp. </w:t>
      </w:r>
    </w:p>
    <w:p w14:paraId="3C1969FF" w14:textId="77777777" w:rsidR="00EC6A45" w:rsidRPr="00EC6A45" w:rsidRDefault="00EC6A45" w:rsidP="00EC6A45">
      <w:pPr>
        <w:pStyle w:val="ListParagraph"/>
        <w:numPr>
          <w:ilvl w:val="0"/>
          <w:numId w:val="1"/>
        </w:numPr>
        <w:rPr>
          <w:rFonts w:ascii="Calibri" w:hAnsi="Calibri" w:cs="Calibri"/>
          <w:sz w:val="22"/>
          <w:szCs w:val="22"/>
        </w:rPr>
      </w:pPr>
      <w:r w:rsidRPr="00116458">
        <w:rPr>
          <w:rFonts w:ascii="Calibri" w:hAnsi="Calibri" w:cs="Calibri"/>
          <w:i/>
          <w:iCs/>
          <w:sz w:val="22"/>
          <w:szCs w:val="22"/>
        </w:rPr>
        <w:t>Pestalotiopsis</w:t>
      </w:r>
      <w:r>
        <w:rPr>
          <w:rFonts w:ascii="Calibri" w:hAnsi="Calibri" w:cs="Calibri"/>
          <w:i/>
          <w:iCs/>
          <w:sz w:val="22"/>
          <w:szCs w:val="22"/>
        </w:rPr>
        <w:t xml:space="preserve"> sp.</w:t>
      </w:r>
    </w:p>
    <w:p w14:paraId="5D9F3366" w14:textId="77777777" w:rsidR="00EC6A45" w:rsidRDefault="00EC6A45" w:rsidP="00EC6A45">
      <w:pPr>
        <w:rPr>
          <w:rFonts w:ascii="Calibri" w:hAnsi="Calibri" w:cs="Calibri"/>
          <w:b/>
          <w:bCs/>
          <w:sz w:val="22"/>
          <w:szCs w:val="22"/>
        </w:rPr>
      </w:pPr>
    </w:p>
    <w:p w14:paraId="33FE9A7B" w14:textId="1C7207BA" w:rsidR="00EC6A45" w:rsidRPr="00EC6A45" w:rsidRDefault="00EC6A45" w:rsidP="00EC6A45">
      <w:pPr>
        <w:rPr>
          <w:rFonts w:ascii="Calibri" w:hAnsi="Calibri" w:cs="Calibri"/>
          <w:sz w:val="22"/>
          <w:szCs w:val="22"/>
        </w:rPr>
      </w:pPr>
      <w:r w:rsidRPr="00EC6A45">
        <w:rPr>
          <w:rFonts w:ascii="Calibri" w:hAnsi="Calibri" w:cs="Calibri"/>
          <w:b/>
          <w:bCs/>
          <w:sz w:val="22"/>
          <w:szCs w:val="22"/>
        </w:rPr>
        <w:t xml:space="preserve">Answer: </w:t>
      </w:r>
      <w:r w:rsidRPr="00EC6A45">
        <w:rPr>
          <w:rFonts w:ascii="Calibri" w:hAnsi="Calibri" w:cs="Calibri"/>
          <w:sz w:val="22"/>
          <w:szCs w:val="22"/>
          <w:highlight w:val="black"/>
        </w:rPr>
        <w:t xml:space="preserve">D, Aspergillus </w:t>
      </w:r>
      <w:proofErr w:type="spellStart"/>
      <w:r w:rsidRPr="00EC6A45">
        <w:rPr>
          <w:rFonts w:ascii="Calibri" w:hAnsi="Calibri" w:cs="Calibri"/>
          <w:sz w:val="22"/>
          <w:szCs w:val="22"/>
          <w:highlight w:val="black"/>
        </w:rPr>
        <w:t>melleus</w:t>
      </w:r>
      <w:proofErr w:type="spellEnd"/>
      <w:r w:rsidRPr="00EC6A45">
        <w:rPr>
          <w:rFonts w:ascii="Calibri" w:hAnsi="Calibri" w:cs="Calibri"/>
          <w:sz w:val="22"/>
          <w:szCs w:val="22"/>
          <w:highlight w:val="black"/>
        </w:rPr>
        <w:t xml:space="preserve"> was the most common</w:t>
      </w:r>
    </w:p>
    <w:p w14:paraId="1D87468E" w14:textId="77777777" w:rsidR="00EC6A45" w:rsidRDefault="00EC6A45" w:rsidP="00EC6A45">
      <w:pPr>
        <w:rPr>
          <w:rFonts w:ascii="Calibri" w:hAnsi="Calibri" w:cs="Calibri"/>
          <w:sz w:val="22"/>
          <w:szCs w:val="22"/>
        </w:rPr>
      </w:pPr>
    </w:p>
    <w:p w14:paraId="7FAEFDE1" w14:textId="73D71681" w:rsidR="00DF58D3" w:rsidRDefault="00EC6A45" w:rsidP="00EC6A45">
      <w:pPr>
        <w:pBdr>
          <w:bottom w:val="single" w:sz="12" w:space="1" w:color="auto"/>
        </w:pBdr>
        <w:rPr>
          <w:rFonts w:ascii="Calibri" w:hAnsi="Calibri" w:cs="Calibri"/>
          <w:sz w:val="22"/>
          <w:szCs w:val="22"/>
        </w:rPr>
      </w:pPr>
      <w:r w:rsidRPr="00EC6A45">
        <w:rPr>
          <w:rFonts w:ascii="Calibri" w:hAnsi="Calibri" w:cs="Calibri"/>
          <w:sz w:val="22"/>
          <w:szCs w:val="22"/>
        </w:rPr>
        <w:t>SOURCE: JZWM, 55(1): 125-135, 2024, CHARACTERIZATION OF THE FUNGAL MICROBIOTA IN THE NOSTRILS AND RECTUM OF AMAZONIAN MANATEES (TRICHECHUS INUNGUIS) FROM A REHABILITATION PROGRAM IN BRAZIL</w:t>
      </w:r>
    </w:p>
    <w:p w14:paraId="27E672F8" w14:textId="77777777" w:rsidR="00617AF0" w:rsidRDefault="00617AF0" w:rsidP="00EC6A45">
      <w:pPr>
        <w:pBdr>
          <w:bottom w:val="single" w:sz="12" w:space="1" w:color="auto"/>
        </w:pBdr>
        <w:rPr>
          <w:rFonts w:ascii="Calibri" w:hAnsi="Calibri" w:cs="Calibri"/>
          <w:sz w:val="22"/>
          <w:szCs w:val="22"/>
        </w:rPr>
      </w:pPr>
    </w:p>
    <w:p w14:paraId="5F014BED" w14:textId="77777777" w:rsidR="00564E55" w:rsidRDefault="00564E55" w:rsidP="00EC6A45"/>
    <w:p w14:paraId="0641CCDB" w14:textId="77777777" w:rsidR="00617AF0" w:rsidRPr="008F41CD" w:rsidRDefault="00617AF0" w:rsidP="00617AF0">
      <w:pPr>
        <w:rPr>
          <w:rFonts w:ascii="Calibri" w:hAnsi="Calibri" w:cs="Calibri"/>
          <w:sz w:val="22"/>
          <w:szCs w:val="22"/>
        </w:rPr>
      </w:pPr>
      <w:r w:rsidRPr="006C30F4">
        <w:rPr>
          <w:rFonts w:ascii="Calibri" w:hAnsi="Calibri" w:cs="Calibri"/>
          <w:b/>
          <w:bCs/>
          <w:sz w:val="22"/>
          <w:szCs w:val="22"/>
        </w:rPr>
        <w:t>Question:</w:t>
      </w:r>
      <w:r>
        <w:rPr>
          <w:rFonts w:ascii="Calibri" w:hAnsi="Calibri" w:cs="Calibri"/>
          <w:b/>
          <w:bCs/>
          <w:sz w:val="22"/>
          <w:szCs w:val="22"/>
        </w:rPr>
        <w:t xml:space="preserve"> </w:t>
      </w:r>
      <w:r>
        <w:rPr>
          <w:rFonts w:ascii="Calibri" w:hAnsi="Calibri" w:cs="Calibri"/>
          <w:sz w:val="22"/>
          <w:szCs w:val="22"/>
        </w:rPr>
        <w:t>What is one major, species-specific challenge to managing Sea Otters with lymphoproliferative disease?</w:t>
      </w:r>
    </w:p>
    <w:p w14:paraId="255CA562" w14:textId="77777777" w:rsidR="00617AF0" w:rsidRDefault="00617AF0" w:rsidP="00617AF0">
      <w:pPr>
        <w:rPr>
          <w:rFonts w:ascii="Calibri" w:hAnsi="Calibri" w:cs="Calibri"/>
          <w:b/>
          <w:bCs/>
          <w:sz w:val="22"/>
          <w:szCs w:val="22"/>
        </w:rPr>
      </w:pPr>
    </w:p>
    <w:p w14:paraId="6E416070" w14:textId="77777777" w:rsidR="00617AF0" w:rsidRPr="008F41CD" w:rsidRDefault="00617AF0" w:rsidP="00617AF0">
      <w:pPr>
        <w:rPr>
          <w:rFonts w:ascii="Calibri" w:hAnsi="Calibri" w:cs="Calibri"/>
          <w:sz w:val="22"/>
          <w:szCs w:val="22"/>
        </w:rPr>
      </w:pPr>
      <w:r w:rsidRPr="006C30F4">
        <w:rPr>
          <w:rFonts w:ascii="Calibri" w:hAnsi="Calibri" w:cs="Calibri"/>
          <w:b/>
          <w:bCs/>
          <w:sz w:val="22"/>
          <w:szCs w:val="22"/>
        </w:rPr>
        <w:t>Answer:</w:t>
      </w:r>
      <w:r>
        <w:rPr>
          <w:rFonts w:ascii="Calibri" w:hAnsi="Calibri" w:cs="Calibri"/>
          <w:b/>
          <w:bCs/>
          <w:sz w:val="22"/>
          <w:szCs w:val="22"/>
        </w:rPr>
        <w:t xml:space="preserve"> </w:t>
      </w:r>
      <w:r w:rsidRPr="008F41CD">
        <w:rPr>
          <w:rFonts w:ascii="Calibri" w:hAnsi="Calibri" w:cs="Calibri"/>
          <w:sz w:val="22"/>
          <w:szCs w:val="22"/>
          <w:highlight w:val="black"/>
        </w:rPr>
        <w:t xml:space="preserve">Relatively high metabolic rate and high nutritional requirement. These animals cannot tolerate </w:t>
      </w:r>
      <w:proofErr w:type="spellStart"/>
      <w:r w:rsidRPr="008F41CD">
        <w:rPr>
          <w:rFonts w:ascii="Calibri" w:hAnsi="Calibri" w:cs="Calibri"/>
          <w:sz w:val="22"/>
          <w:szCs w:val="22"/>
          <w:highlight w:val="black"/>
        </w:rPr>
        <w:t>hyporexia</w:t>
      </w:r>
      <w:proofErr w:type="spellEnd"/>
      <w:r w:rsidRPr="008F41CD">
        <w:rPr>
          <w:rFonts w:ascii="Calibri" w:hAnsi="Calibri" w:cs="Calibri"/>
          <w:sz w:val="22"/>
          <w:szCs w:val="22"/>
          <w:highlight w:val="black"/>
        </w:rPr>
        <w:t xml:space="preserve"> or anorexia for as long as other similarly sized species.</w:t>
      </w:r>
    </w:p>
    <w:p w14:paraId="5D1D9F99" w14:textId="77777777" w:rsidR="00617AF0" w:rsidRDefault="00617AF0" w:rsidP="00617AF0">
      <w:pPr>
        <w:pStyle w:val="NormalWeb"/>
        <w:rPr>
          <w:rFonts w:ascii="Calibri" w:hAnsi="Calibri" w:cs="Calibri"/>
          <w:sz w:val="22"/>
          <w:szCs w:val="22"/>
        </w:rPr>
      </w:pPr>
      <w:r w:rsidRPr="006C30F4">
        <w:rPr>
          <w:rFonts w:ascii="Calibri" w:hAnsi="Calibri" w:cs="Calibri"/>
          <w:sz w:val="22"/>
          <w:szCs w:val="22"/>
        </w:rPr>
        <w:t xml:space="preserve">SOURCE: </w:t>
      </w:r>
      <w:r>
        <w:rPr>
          <w:rFonts w:ascii="Calibri" w:hAnsi="Calibri" w:cs="Calibri"/>
          <w:sz w:val="22"/>
          <w:szCs w:val="22"/>
        </w:rPr>
        <w:t>JZWM</w:t>
      </w:r>
      <w:r w:rsidRPr="006C30F4">
        <w:rPr>
          <w:rFonts w:ascii="Calibri" w:hAnsi="Calibri" w:cs="Calibri"/>
          <w:sz w:val="22"/>
          <w:szCs w:val="22"/>
        </w:rPr>
        <w:t xml:space="preserve">, </w:t>
      </w:r>
      <w:r>
        <w:rPr>
          <w:rFonts w:ascii="Calibri" w:hAnsi="Calibri" w:cs="Calibri"/>
          <w:sz w:val="22"/>
          <w:szCs w:val="22"/>
        </w:rPr>
        <w:t>55</w:t>
      </w:r>
      <w:r w:rsidRPr="006C30F4">
        <w:rPr>
          <w:rFonts w:ascii="Calibri" w:hAnsi="Calibri" w:cs="Calibri"/>
          <w:sz w:val="22"/>
          <w:szCs w:val="22"/>
        </w:rPr>
        <w:t>(</w:t>
      </w:r>
      <w:r>
        <w:rPr>
          <w:rFonts w:ascii="Calibri" w:hAnsi="Calibri" w:cs="Calibri"/>
          <w:sz w:val="22"/>
          <w:szCs w:val="22"/>
        </w:rPr>
        <w:t>2</w:t>
      </w:r>
      <w:r w:rsidRPr="006C30F4">
        <w:rPr>
          <w:rFonts w:ascii="Calibri" w:hAnsi="Calibri" w:cs="Calibri"/>
          <w:sz w:val="22"/>
          <w:szCs w:val="22"/>
        </w:rPr>
        <w:t xml:space="preserve">): </w:t>
      </w:r>
      <w:r>
        <w:rPr>
          <w:rFonts w:ascii="Calibri" w:hAnsi="Calibri" w:cs="Calibri"/>
          <w:sz w:val="22"/>
          <w:szCs w:val="22"/>
        </w:rPr>
        <w:t>511-520</w:t>
      </w:r>
      <w:r w:rsidRPr="006C30F4">
        <w:rPr>
          <w:rFonts w:ascii="Calibri" w:hAnsi="Calibri" w:cs="Calibri"/>
          <w:sz w:val="22"/>
          <w:szCs w:val="22"/>
        </w:rPr>
        <w:t>, 202</w:t>
      </w:r>
      <w:r>
        <w:rPr>
          <w:rFonts w:ascii="Calibri" w:hAnsi="Calibri" w:cs="Calibri"/>
          <w:sz w:val="22"/>
          <w:szCs w:val="22"/>
        </w:rPr>
        <w:t>4</w:t>
      </w:r>
      <w:r w:rsidRPr="006C30F4">
        <w:rPr>
          <w:rFonts w:ascii="Calibri" w:hAnsi="Calibri" w:cs="Calibri"/>
          <w:sz w:val="22"/>
          <w:szCs w:val="22"/>
        </w:rPr>
        <w:t xml:space="preserve">, </w:t>
      </w:r>
      <w:r>
        <w:rPr>
          <w:rFonts w:ascii="Calibri" w:hAnsi="Calibri" w:cs="Calibri"/>
          <w:sz w:val="22"/>
          <w:szCs w:val="22"/>
        </w:rPr>
        <w:t>THE MANAGEMENT OF LYMPHOPROLIFERATIVE NEOPLASIA IN FOUR NORTHERN SEA OTTERS (ENHYDRA LUTRIS KENYONI)</w:t>
      </w:r>
    </w:p>
    <w:p w14:paraId="1011DB86" w14:textId="77777777" w:rsidR="005303BA" w:rsidRDefault="005303BA" w:rsidP="005303BA">
      <w:pPr>
        <w:rPr>
          <w:rFonts w:ascii="Times New Roman" w:eastAsia="Times New Roman" w:hAnsi="Times New Roman" w:cs="Times New Roman"/>
        </w:rPr>
      </w:pPr>
      <w:r>
        <w:rPr>
          <w:rFonts w:ascii="Times New Roman" w:eastAsia="Times New Roman" w:hAnsi="Times New Roman" w:cs="Times New Roman"/>
          <w:b/>
        </w:rPr>
        <w:t xml:space="preserve">Q: </w:t>
      </w:r>
      <w:r>
        <w:rPr>
          <w:rFonts w:ascii="Times New Roman" w:eastAsia="Times New Roman" w:hAnsi="Times New Roman" w:cs="Times New Roman"/>
        </w:rPr>
        <w:t>What effects might you expect from 30 days of oral hyaluronic acid 2 mg/kg SID in otters with osteoarthritic changes?</w:t>
      </w:r>
    </w:p>
    <w:p w14:paraId="181F50A4" w14:textId="77777777" w:rsidR="005303BA" w:rsidRDefault="005303BA" w:rsidP="005303BA">
      <w:pPr>
        <w:numPr>
          <w:ilvl w:val="0"/>
          <w:numId w:val="2"/>
        </w:numPr>
        <w:rPr>
          <w:rFonts w:ascii="Times New Roman" w:eastAsia="Times New Roman" w:hAnsi="Times New Roman" w:cs="Times New Roman"/>
        </w:rPr>
      </w:pPr>
      <w:r>
        <w:rPr>
          <w:rFonts w:ascii="Times New Roman" w:eastAsia="Times New Roman" w:hAnsi="Times New Roman" w:cs="Times New Roman"/>
        </w:rPr>
        <w:t>Lameness score would improve but radiographic changes would not</w:t>
      </w:r>
    </w:p>
    <w:p w14:paraId="04655675" w14:textId="77777777" w:rsidR="005303BA" w:rsidRDefault="005303BA" w:rsidP="005303BA">
      <w:pPr>
        <w:numPr>
          <w:ilvl w:val="0"/>
          <w:numId w:val="2"/>
        </w:numPr>
        <w:rPr>
          <w:rFonts w:ascii="Times New Roman" w:eastAsia="Times New Roman" w:hAnsi="Times New Roman" w:cs="Times New Roman"/>
        </w:rPr>
      </w:pPr>
      <w:r>
        <w:rPr>
          <w:rFonts w:ascii="Times New Roman" w:eastAsia="Times New Roman" w:hAnsi="Times New Roman" w:cs="Times New Roman"/>
        </w:rPr>
        <w:t>Radiographic changes would improve but appetite would be decreased</w:t>
      </w:r>
    </w:p>
    <w:p w14:paraId="3EB286CB" w14:textId="77777777" w:rsidR="005303BA" w:rsidRDefault="005303BA" w:rsidP="005303BA">
      <w:pPr>
        <w:numPr>
          <w:ilvl w:val="0"/>
          <w:numId w:val="2"/>
        </w:numPr>
        <w:rPr>
          <w:rFonts w:ascii="Times New Roman" w:eastAsia="Times New Roman" w:hAnsi="Times New Roman" w:cs="Times New Roman"/>
        </w:rPr>
      </w:pPr>
      <w:r>
        <w:rPr>
          <w:rFonts w:ascii="Times New Roman" w:eastAsia="Times New Roman" w:hAnsi="Times New Roman" w:cs="Times New Roman"/>
        </w:rPr>
        <w:t>Neither lameness scores nor radiographic changes would improve</w:t>
      </w:r>
    </w:p>
    <w:p w14:paraId="61E9EDBD" w14:textId="77777777" w:rsidR="005303BA" w:rsidRDefault="005303BA" w:rsidP="005303BA">
      <w:pPr>
        <w:numPr>
          <w:ilvl w:val="0"/>
          <w:numId w:val="2"/>
        </w:numPr>
        <w:rPr>
          <w:rFonts w:ascii="Times New Roman" w:eastAsia="Times New Roman" w:hAnsi="Times New Roman" w:cs="Times New Roman"/>
        </w:rPr>
      </w:pPr>
      <w:r>
        <w:rPr>
          <w:rFonts w:ascii="Times New Roman" w:eastAsia="Times New Roman" w:hAnsi="Times New Roman" w:cs="Times New Roman"/>
        </w:rPr>
        <w:t>Appetite would be decreased but lameness scores would improve</w:t>
      </w:r>
    </w:p>
    <w:p w14:paraId="66525D40" w14:textId="77777777" w:rsidR="005303BA" w:rsidRDefault="005303BA" w:rsidP="005303BA">
      <w:pPr>
        <w:numPr>
          <w:ilvl w:val="0"/>
          <w:numId w:val="2"/>
        </w:numPr>
        <w:rPr>
          <w:rFonts w:ascii="Times New Roman" w:eastAsia="Times New Roman" w:hAnsi="Times New Roman" w:cs="Times New Roman"/>
        </w:rPr>
      </w:pPr>
      <w:r>
        <w:rPr>
          <w:rFonts w:ascii="Times New Roman" w:eastAsia="Times New Roman" w:hAnsi="Times New Roman" w:cs="Times New Roman"/>
        </w:rPr>
        <w:t>Both lameness scores and radiographic changes would</w:t>
      </w:r>
    </w:p>
    <w:p w14:paraId="00D0482E" w14:textId="77777777" w:rsidR="005303BA" w:rsidRDefault="005303BA" w:rsidP="005303BA">
      <w:pPr>
        <w:rPr>
          <w:rFonts w:ascii="Times New Roman" w:eastAsia="Times New Roman" w:hAnsi="Times New Roman" w:cs="Times New Roman"/>
        </w:rPr>
      </w:pPr>
    </w:p>
    <w:p w14:paraId="516DBDB7" w14:textId="77777777" w:rsidR="005303BA" w:rsidRDefault="005303BA" w:rsidP="005303BA">
      <w:pPr>
        <w:rPr>
          <w:rFonts w:ascii="Times New Roman" w:eastAsia="Times New Roman" w:hAnsi="Times New Roman" w:cs="Times New Roman"/>
        </w:rPr>
      </w:pPr>
      <w:r>
        <w:rPr>
          <w:rFonts w:ascii="Times New Roman" w:eastAsia="Times New Roman" w:hAnsi="Times New Roman" w:cs="Times New Roman"/>
        </w:rPr>
        <w:t>Answer: C</w:t>
      </w:r>
    </w:p>
    <w:p w14:paraId="7A13E760" w14:textId="77777777" w:rsidR="005303BA" w:rsidRDefault="005303BA" w:rsidP="005303BA">
      <w:pPr>
        <w:rPr>
          <w:rFonts w:ascii="Times New Roman" w:eastAsia="Times New Roman" w:hAnsi="Times New Roman" w:cs="Times New Roman"/>
        </w:rPr>
      </w:pPr>
      <w:r w:rsidRPr="00B55242">
        <w:rPr>
          <w:rFonts w:ascii="Times New Roman" w:eastAsia="Times New Roman" w:hAnsi="Times New Roman" w:cs="Times New Roman"/>
        </w:rPr>
        <w:t>Source: DEVELOPMENT OF A MOBILITY ASSESSMENT SCORE FOR EVALUATION OF THE EFFECTS OF ORAL HYALURONIC ACID ON CLINICAL LAMENESS IN ASIAN SMALL-CLAWED OTTERS (AONYX CINEREA) AND AFRICAN SPOT-NECKED OTTERS (HYDRICTIS MACULICOLIS) UNDER HUMAN CARE</w:t>
      </w:r>
      <w:r w:rsidRPr="00B55242">
        <w:rPr>
          <w:rFonts w:ascii="Times New Roman" w:eastAsia="Times New Roman" w:hAnsi="Times New Roman" w:cs="Times New Roman"/>
          <w:color w:val="000000"/>
        </w:rPr>
        <w:t>. J</w:t>
      </w:r>
      <w:r w:rsidRPr="00B55242">
        <w:rPr>
          <w:rFonts w:ascii="Times New Roman" w:eastAsia="Times New Roman" w:hAnsi="Times New Roman" w:cs="Times New Roman"/>
        </w:rPr>
        <w:t xml:space="preserve">ZWM </w:t>
      </w:r>
      <w:r w:rsidRPr="00B55242">
        <w:rPr>
          <w:rFonts w:ascii="Times New Roman" w:eastAsia="Times New Roman" w:hAnsi="Times New Roman" w:cs="Times New Roman"/>
          <w:color w:val="000000"/>
        </w:rPr>
        <w:t xml:space="preserve">2022. </w:t>
      </w:r>
      <w:r w:rsidRPr="00B55242">
        <w:rPr>
          <w:rFonts w:ascii="Times New Roman" w:eastAsia="Times New Roman" w:hAnsi="Times New Roman" w:cs="Times New Roman"/>
        </w:rPr>
        <w:t>Russell</w:t>
      </w:r>
      <w:r>
        <w:rPr>
          <w:rFonts w:ascii="Times New Roman" w:eastAsia="Times New Roman" w:hAnsi="Times New Roman" w:cs="Times New Roman"/>
        </w:rPr>
        <w:t xml:space="preserve"> et al.</w:t>
      </w:r>
    </w:p>
    <w:p w14:paraId="68A047A2" w14:textId="77777777" w:rsidR="005303BA" w:rsidRDefault="005303BA" w:rsidP="005303BA">
      <w:pPr>
        <w:rPr>
          <w:rFonts w:ascii="Times New Roman" w:eastAsia="Times New Roman" w:hAnsi="Times New Roman" w:cs="Times New Roman"/>
        </w:rPr>
      </w:pPr>
    </w:p>
    <w:p w14:paraId="67E8F222" w14:textId="77777777" w:rsidR="005303BA" w:rsidRDefault="005303BA" w:rsidP="005303BA">
      <w:pPr>
        <w:rPr>
          <w:rFonts w:ascii="Times New Roman" w:eastAsia="Times New Roman" w:hAnsi="Times New Roman" w:cs="Times New Roman"/>
        </w:rPr>
      </w:pPr>
    </w:p>
    <w:p w14:paraId="6E9DEBD9" w14:textId="77777777" w:rsidR="005303BA" w:rsidRDefault="005303BA" w:rsidP="005303BA">
      <w:pPr>
        <w:rPr>
          <w:rFonts w:ascii="Times New Roman" w:eastAsia="Times New Roman" w:hAnsi="Times New Roman" w:cs="Times New Roman"/>
        </w:rPr>
      </w:pPr>
    </w:p>
    <w:p w14:paraId="3B6DDA72" w14:textId="77777777" w:rsidR="005303BA" w:rsidRDefault="005303BA" w:rsidP="005303BA">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3CAC6B7B" wp14:editId="3DA42D11">
            <wp:extent cx="1337310" cy="2615236"/>
            <wp:effectExtent l="0" t="0" r="0" b="1270"/>
            <wp:docPr id="1" name="Picture 1" descr="A x-ray of a do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x-ray of a dog&#10;&#10;Description automatically generated"/>
                    <pic:cNvPicPr preferRelativeResize="0"/>
                  </pic:nvPicPr>
                  <pic:blipFill rotWithShape="1">
                    <a:blip r:embed="rId5"/>
                    <a:srcRect l="2049" r="56977" b="18919"/>
                    <a:stretch/>
                  </pic:blipFill>
                  <pic:spPr bwMode="auto">
                    <a:xfrm>
                      <a:off x="0" y="0"/>
                      <a:ext cx="1338304" cy="2617180"/>
                    </a:xfrm>
                    <a:prstGeom prst="rect">
                      <a:avLst/>
                    </a:prstGeom>
                    <a:ln>
                      <a:noFill/>
                    </a:ln>
                    <a:extLst>
                      <a:ext uri="{53640926-AAD7-44D8-BBD7-CCE9431645EC}">
                        <a14:shadowObscured xmlns:a14="http://schemas.microsoft.com/office/drawing/2010/main"/>
                      </a:ext>
                    </a:extLst>
                  </pic:spPr>
                </pic:pic>
              </a:graphicData>
            </a:graphic>
          </wp:inline>
        </w:drawing>
      </w:r>
    </w:p>
    <w:p w14:paraId="00620F93" w14:textId="77777777" w:rsidR="005303BA" w:rsidRDefault="005303BA" w:rsidP="005303BA">
      <w:pPr>
        <w:rPr>
          <w:rFonts w:ascii="Times New Roman" w:eastAsia="Times New Roman" w:hAnsi="Times New Roman" w:cs="Times New Roman"/>
        </w:rPr>
      </w:pPr>
      <w:r>
        <w:rPr>
          <w:rFonts w:ascii="Times New Roman" w:eastAsia="Times New Roman" w:hAnsi="Times New Roman" w:cs="Times New Roman"/>
          <w:b/>
        </w:rPr>
        <w:t xml:space="preserve">Q: </w:t>
      </w:r>
      <w:r>
        <w:rPr>
          <w:rFonts w:ascii="Times New Roman" w:eastAsia="Times New Roman" w:hAnsi="Times New Roman" w:cs="Times New Roman"/>
        </w:rPr>
        <w:t>You take this radiograph of your 2-year-old ASCO who has a primarily capelin diet. What is your diagnosis (be specific) and what husbandry recommendations might you have?</w:t>
      </w:r>
    </w:p>
    <w:p w14:paraId="4CFC2ACE" w14:textId="77777777" w:rsidR="005303BA" w:rsidRDefault="005303BA" w:rsidP="005303BA">
      <w:pPr>
        <w:rPr>
          <w:rFonts w:ascii="Times New Roman" w:eastAsia="Times New Roman" w:hAnsi="Times New Roman" w:cs="Times New Roman"/>
        </w:rPr>
      </w:pPr>
    </w:p>
    <w:p w14:paraId="010307B8" w14:textId="77777777" w:rsidR="005303BA" w:rsidRDefault="005303BA" w:rsidP="005303BA">
      <w:pPr>
        <w:rPr>
          <w:rFonts w:ascii="Times New Roman" w:eastAsia="Times New Roman" w:hAnsi="Times New Roman" w:cs="Times New Roman"/>
        </w:rPr>
      </w:pPr>
      <w:r>
        <w:rPr>
          <w:rFonts w:ascii="Times New Roman" w:eastAsia="Times New Roman" w:hAnsi="Times New Roman" w:cs="Times New Roman"/>
        </w:rPr>
        <w:t>Answer: calcium oxalate nephroliths; transition from predominately fish diet to crustacean diet (decrease calcium and increase protein)</w:t>
      </w:r>
    </w:p>
    <w:p w14:paraId="6C4BC867" w14:textId="77777777" w:rsidR="005303BA" w:rsidRPr="00B55242" w:rsidRDefault="005303BA" w:rsidP="005303BA">
      <w:pPr>
        <w:rPr>
          <w:rFonts w:ascii="Times New Roman" w:eastAsia="Times New Roman" w:hAnsi="Times New Roman" w:cs="Times New Roman"/>
        </w:rPr>
      </w:pPr>
      <w:r w:rsidRPr="00B55242">
        <w:rPr>
          <w:rFonts w:ascii="Times New Roman" w:eastAsia="Times New Roman" w:hAnsi="Times New Roman" w:cs="Times New Roman"/>
          <w:bCs/>
        </w:rPr>
        <w:t>Source: NO PROGRESSION OF UROLITHS IN ASIAN SMALL-CLAWED OTTERS (AONYX CINEREUS) FED A NATURALISTIC CRUSTACEAN-BASED DIET FOR 2 YEARS. JZWM 2022</w:t>
      </w:r>
      <w:r>
        <w:rPr>
          <w:rFonts w:ascii="Times New Roman" w:eastAsia="Times New Roman" w:hAnsi="Times New Roman" w:cs="Times New Roman"/>
          <w:bCs/>
        </w:rPr>
        <w:t>.</w:t>
      </w:r>
      <w:r w:rsidRPr="00B55242">
        <w:rPr>
          <w:rFonts w:ascii="Times New Roman" w:eastAsia="Times New Roman" w:hAnsi="Times New Roman" w:cs="Times New Roman"/>
          <w:bCs/>
        </w:rPr>
        <w:t xml:space="preserve"> Cabana et al.</w:t>
      </w:r>
    </w:p>
    <w:p w14:paraId="3253F7DA" w14:textId="77777777" w:rsidR="005303BA" w:rsidRDefault="005303BA" w:rsidP="005303BA">
      <w:pPr>
        <w:ind w:left="720"/>
        <w:rPr>
          <w:rFonts w:ascii="Times New Roman" w:eastAsia="Times New Roman" w:hAnsi="Times New Roman" w:cs="Times New Roman"/>
        </w:rPr>
      </w:pPr>
    </w:p>
    <w:p w14:paraId="5A5842E1" w14:textId="77777777" w:rsidR="005303BA" w:rsidRDefault="005303BA" w:rsidP="005303BA">
      <w:pPr>
        <w:ind w:left="720"/>
        <w:rPr>
          <w:rFonts w:ascii="Times New Roman" w:eastAsia="Times New Roman" w:hAnsi="Times New Roman" w:cs="Times New Roman"/>
        </w:rPr>
      </w:pPr>
    </w:p>
    <w:p w14:paraId="0A60389B" w14:textId="77777777" w:rsidR="005303BA" w:rsidRPr="00C44C73" w:rsidRDefault="005303BA" w:rsidP="005303BA">
      <w:pPr>
        <w:rPr>
          <w:rFonts w:ascii="Times New Roman" w:eastAsia="Times New Roman" w:hAnsi="Times New Roman" w:cs="Times New Roman"/>
        </w:rPr>
      </w:pPr>
      <w:r w:rsidRPr="00C44C73">
        <w:rPr>
          <w:rFonts w:ascii="Calibri" w:eastAsia="Times New Roman" w:hAnsi="Calibri" w:cs="Calibri"/>
          <w:color w:val="000000"/>
          <w:sz w:val="22"/>
          <w:szCs w:val="22"/>
        </w:rPr>
        <w:t xml:space="preserve">Journal of Zoo and Wildlife Medicine, 52(3): </w:t>
      </w:r>
      <w:r>
        <w:rPr>
          <w:rFonts w:ascii="Calibri" w:eastAsia="Times New Roman" w:hAnsi="Calibri" w:cs="Calibri"/>
          <w:color w:val="000000"/>
          <w:sz w:val="22"/>
          <w:szCs w:val="22"/>
        </w:rPr>
        <w:t>880-885</w:t>
      </w:r>
      <w:r w:rsidRPr="00C44C73">
        <w:rPr>
          <w:rFonts w:ascii="Calibri" w:eastAsia="Times New Roman" w:hAnsi="Calibri" w:cs="Calibri"/>
          <w:color w:val="000000"/>
          <w:sz w:val="22"/>
          <w:szCs w:val="22"/>
        </w:rPr>
        <w:t>, 2021</w:t>
      </w:r>
    </w:p>
    <w:p w14:paraId="28684663" w14:textId="77777777" w:rsidR="005303BA" w:rsidRDefault="005303BA" w:rsidP="005303BA">
      <w:pPr>
        <w:rPr>
          <w:rFonts w:ascii="Calibri" w:eastAsia="Times New Roman" w:hAnsi="Calibri" w:cs="Calibri"/>
          <w:b/>
          <w:bCs/>
          <w:color w:val="000000"/>
          <w:sz w:val="22"/>
          <w:szCs w:val="22"/>
        </w:rPr>
      </w:pPr>
      <w:r w:rsidRPr="00F35BA4">
        <w:rPr>
          <w:rFonts w:ascii="Calibri" w:eastAsia="Times New Roman" w:hAnsi="Calibri" w:cs="Calibri"/>
          <w:b/>
          <w:bCs/>
          <w:color w:val="000000"/>
          <w:sz w:val="22"/>
          <w:szCs w:val="22"/>
        </w:rPr>
        <w:t>EVALUATION OF THE PHARMACOKINETIC BEHAVIOR OF TULATHROMYCIN (DRAXXIN) IN FLORIDA MANATEES (</w:t>
      </w:r>
      <w:r w:rsidRPr="00F35BA4">
        <w:rPr>
          <w:rFonts w:ascii="Calibri" w:eastAsia="Times New Roman" w:hAnsi="Calibri" w:cs="Calibri"/>
          <w:b/>
          <w:bCs/>
          <w:i/>
          <w:iCs/>
          <w:color w:val="000000"/>
          <w:sz w:val="22"/>
          <w:szCs w:val="22"/>
        </w:rPr>
        <w:t>TRICHECHUS MANATUS LATIROSTRIS</w:t>
      </w:r>
      <w:r w:rsidRPr="00F35BA4">
        <w:rPr>
          <w:rFonts w:ascii="Calibri" w:eastAsia="Times New Roman" w:hAnsi="Calibri" w:cs="Calibri"/>
          <w:b/>
          <w:bCs/>
          <w:color w:val="000000"/>
          <w:sz w:val="22"/>
          <w:szCs w:val="22"/>
        </w:rPr>
        <w:t>) UNDERGOING MEDICAL REHABILITATION</w:t>
      </w:r>
    </w:p>
    <w:p w14:paraId="436100A8" w14:textId="77777777" w:rsidR="005303BA" w:rsidRPr="00F35BA4" w:rsidRDefault="005303BA" w:rsidP="005303BA">
      <w:pPr>
        <w:rPr>
          <w:rFonts w:ascii="Calibri" w:eastAsia="Times New Roman" w:hAnsi="Calibri" w:cs="Calibri"/>
          <w:color w:val="000000"/>
          <w:sz w:val="22"/>
          <w:szCs w:val="22"/>
          <w:bdr w:val="none" w:sz="0" w:space="0" w:color="auto" w:frame="1"/>
        </w:rPr>
      </w:pPr>
      <w:r w:rsidRPr="00F35BA4">
        <w:rPr>
          <w:rFonts w:ascii="Calibri" w:eastAsia="Times New Roman" w:hAnsi="Calibri" w:cs="Calibri"/>
          <w:color w:val="000000"/>
          <w:sz w:val="22"/>
          <w:szCs w:val="22"/>
          <w:bdr w:val="none" w:sz="0" w:space="0" w:color="auto" w:frame="1"/>
        </w:rPr>
        <w:t xml:space="preserve">Lauren N. Smith, Claire </w:t>
      </w:r>
      <w:proofErr w:type="spellStart"/>
      <w:r w:rsidRPr="00F35BA4">
        <w:rPr>
          <w:rFonts w:ascii="Calibri" w:eastAsia="Times New Roman" w:hAnsi="Calibri" w:cs="Calibri"/>
          <w:color w:val="000000"/>
          <w:sz w:val="22"/>
          <w:szCs w:val="22"/>
          <w:bdr w:val="none" w:sz="0" w:space="0" w:color="auto" w:frame="1"/>
        </w:rPr>
        <w:t>Bublitz</w:t>
      </w:r>
      <w:proofErr w:type="spellEnd"/>
      <w:r w:rsidRPr="00F35BA4">
        <w:rPr>
          <w:rFonts w:ascii="Calibri" w:eastAsia="Times New Roman" w:hAnsi="Calibri" w:cs="Calibri"/>
          <w:color w:val="000000"/>
          <w:sz w:val="22"/>
          <w:szCs w:val="22"/>
          <w:bdr w:val="none" w:sz="0" w:space="0" w:color="auto" w:frame="1"/>
        </w:rPr>
        <w:t xml:space="preserve">, Emma Nixon, James </w:t>
      </w:r>
      <w:proofErr w:type="spellStart"/>
      <w:r w:rsidRPr="00F35BA4">
        <w:rPr>
          <w:rFonts w:ascii="Calibri" w:eastAsia="Times New Roman" w:hAnsi="Calibri" w:cs="Calibri"/>
          <w:color w:val="000000"/>
          <w:sz w:val="22"/>
          <w:szCs w:val="22"/>
          <w:bdr w:val="none" w:sz="0" w:space="0" w:color="auto" w:frame="1"/>
        </w:rPr>
        <w:t>Yeatts</w:t>
      </w:r>
      <w:proofErr w:type="spellEnd"/>
      <w:r w:rsidRPr="00F35BA4">
        <w:rPr>
          <w:rFonts w:ascii="Calibri" w:eastAsia="Times New Roman" w:hAnsi="Calibri" w:cs="Calibri"/>
          <w:color w:val="000000"/>
          <w:sz w:val="22"/>
          <w:szCs w:val="22"/>
          <w:bdr w:val="none" w:sz="0" w:space="0" w:color="auto" w:frame="1"/>
        </w:rPr>
        <w:t>, Ray L. Ball, Ronald E. Baynes</w:t>
      </w:r>
    </w:p>
    <w:p w14:paraId="7B630BD0" w14:textId="77777777" w:rsidR="005303BA" w:rsidRDefault="005303BA" w:rsidP="005303BA">
      <w:pPr>
        <w:rPr>
          <w:rFonts w:ascii="Calibri" w:eastAsia="Times New Roman" w:hAnsi="Calibri" w:cs="Calibri"/>
          <w:color w:val="000000"/>
          <w:sz w:val="22"/>
          <w:szCs w:val="22"/>
          <w:bdr w:val="none" w:sz="0" w:space="0" w:color="auto" w:frame="1"/>
        </w:rPr>
      </w:pPr>
      <w:r w:rsidRPr="00C44C73">
        <w:rPr>
          <w:rFonts w:ascii="Calibri" w:eastAsia="Times New Roman" w:hAnsi="Calibri" w:cs="Calibri"/>
          <w:color w:val="000000"/>
          <w:sz w:val="22"/>
          <w:szCs w:val="22"/>
          <w:bdr w:val="none" w:sz="0" w:space="0" w:color="auto" w:frame="1"/>
        </w:rPr>
        <w:fldChar w:fldCharType="begin"/>
      </w:r>
      <w:r w:rsidRPr="00C44C73">
        <w:rPr>
          <w:rFonts w:ascii="Calibri" w:eastAsia="Times New Roman" w:hAnsi="Calibri" w:cs="Calibri"/>
          <w:color w:val="000000"/>
          <w:sz w:val="22"/>
          <w:szCs w:val="22"/>
          <w:bdr w:val="none" w:sz="0" w:space="0" w:color="auto" w:frame="1"/>
        </w:rPr>
        <w:instrText xml:space="preserve"> INCLUDEPICTURE "https://lh7-rt.googleusercontent.com/docsz/AD_4nXcnK-EamDH4UyNHNtEtMdQiKP0CkAEv70J7n0B6ErAKaRfMIGGnytUOL5WiHYJCO0cc5mLCnQcM4cy4AVn6TVJ-ZuZ84tpF9Zt0osy67hptzdoe_DvgZX3644vI1yqwki0vH8CYu0LiGmhEc8dzi56XjpU?key=60u5FsWPlp3WsQ5neaPJHg" \* MERGEFORMATINET </w:instrText>
      </w:r>
      <w:r w:rsidRPr="00C44C73">
        <w:rPr>
          <w:rFonts w:ascii="Calibri" w:eastAsia="Times New Roman" w:hAnsi="Calibri" w:cs="Calibri"/>
          <w:color w:val="000000"/>
          <w:sz w:val="22"/>
          <w:szCs w:val="22"/>
          <w:bdr w:val="none" w:sz="0" w:space="0" w:color="auto" w:frame="1"/>
        </w:rPr>
        <w:fldChar w:fldCharType="separate"/>
      </w:r>
      <w:r w:rsidRPr="00C44C73">
        <w:rPr>
          <w:rFonts w:ascii="Calibri" w:eastAsia="Times New Roman" w:hAnsi="Calibri" w:cs="Calibri"/>
          <w:noProof/>
          <w:color w:val="000000"/>
          <w:sz w:val="22"/>
          <w:szCs w:val="22"/>
          <w:bdr w:val="none" w:sz="0" w:space="0" w:color="auto" w:frame="1"/>
        </w:rPr>
        <w:drawing>
          <wp:inline distT="0" distB="0" distL="0" distR="0" wp14:anchorId="06C657C0" wp14:editId="02212577">
            <wp:extent cx="3061970" cy="1715770"/>
            <wp:effectExtent l="0" t="0" r="0" b="0"/>
            <wp:docPr id="489744432" name="Picture 2" descr="A close-up of a mana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55593" name="Picture 3" descr="A close-up of a manate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1970" cy="1715770"/>
                    </a:xfrm>
                    <a:prstGeom prst="rect">
                      <a:avLst/>
                    </a:prstGeom>
                    <a:noFill/>
                    <a:ln>
                      <a:noFill/>
                    </a:ln>
                  </pic:spPr>
                </pic:pic>
              </a:graphicData>
            </a:graphic>
          </wp:inline>
        </w:drawing>
      </w:r>
      <w:r w:rsidRPr="00C44C73">
        <w:rPr>
          <w:rFonts w:ascii="Calibri" w:eastAsia="Times New Roman" w:hAnsi="Calibri" w:cs="Calibri"/>
          <w:color w:val="000000"/>
          <w:sz w:val="22"/>
          <w:szCs w:val="22"/>
          <w:bdr w:val="none" w:sz="0" w:space="0" w:color="auto" w:frame="1"/>
        </w:rPr>
        <w:fldChar w:fldCharType="end"/>
      </w:r>
    </w:p>
    <w:p w14:paraId="21C92226" w14:textId="77777777" w:rsidR="005303BA" w:rsidRDefault="005303BA" w:rsidP="005303BA">
      <w:pPr>
        <w:rPr>
          <w:rFonts w:ascii="Calibri" w:eastAsia="Times New Roman" w:hAnsi="Calibri" w:cs="Calibri"/>
          <w:color w:val="000000"/>
          <w:sz w:val="22"/>
          <w:szCs w:val="22"/>
        </w:rPr>
      </w:pPr>
    </w:p>
    <w:p w14:paraId="3C2FE1BF" w14:textId="77777777" w:rsidR="005303BA" w:rsidRPr="001B747A" w:rsidRDefault="005303BA" w:rsidP="005303BA">
      <w:pPr>
        <w:rPr>
          <w:rFonts w:ascii="Times New Roman" w:eastAsia="Times New Roman" w:hAnsi="Times New Roman" w:cs="Times New Roman"/>
        </w:rPr>
      </w:pPr>
      <w:r w:rsidRPr="001B747A">
        <w:rPr>
          <w:rFonts w:ascii="Calibri" w:eastAsia="Times New Roman" w:hAnsi="Calibri" w:cs="Calibri"/>
          <w:color w:val="000000"/>
          <w:sz w:val="22"/>
          <w:szCs w:val="22"/>
        </w:rPr>
        <w:t xml:space="preserve">Question: Which of the following </w:t>
      </w:r>
      <w:r>
        <w:rPr>
          <w:rFonts w:ascii="Calibri" w:eastAsia="Times New Roman" w:hAnsi="Calibri" w:cs="Calibri"/>
          <w:color w:val="000000"/>
          <w:sz w:val="22"/>
          <w:szCs w:val="22"/>
        </w:rPr>
        <w:t>statements is most correct regarding the</w:t>
      </w:r>
      <w:r w:rsidRPr="001B747A">
        <w:rPr>
          <w:rFonts w:ascii="Calibri" w:eastAsia="Times New Roman" w:hAnsi="Calibri" w:cs="Calibri"/>
          <w:color w:val="000000"/>
          <w:sz w:val="22"/>
          <w:szCs w:val="22"/>
        </w:rPr>
        <w:t xml:space="preserve"> use of tulathromycin in Florida manatees</w:t>
      </w:r>
      <w:r>
        <w:rPr>
          <w:rFonts w:ascii="Calibri" w:eastAsia="Times New Roman" w:hAnsi="Calibri" w:cs="Calibri"/>
          <w:color w:val="000000"/>
          <w:sz w:val="22"/>
          <w:szCs w:val="22"/>
        </w:rPr>
        <w:t xml:space="preserve"> </w:t>
      </w:r>
      <w:r w:rsidRPr="001B747A">
        <w:rPr>
          <w:rFonts w:ascii="Calibri" w:eastAsia="Times New Roman" w:hAnsi="Calibri" w:cs="Calibri"/>
          <w:color w:val="000000"/>
          <w:sz w:val="22"/>
          <w:szCs w:val="22"/>
        </w:rPr>
        <w:t>(</w:t>
      </w:r>
      <w:r w:rsidRPr="001B747A">
        <w:rPr>
          <w:rFonts w:ascii="Calibri" w:eastAsia="Times New Roman" w:hAnsi="Calibri" w:cs="Calibri"/>
          <w:i/>
          <w:iCs/>
          <w:color w:val="000000"/>
          <w:sz w:val="22"/>
          <w:szCs w:val="22"/>
        </w:rPr>
        <w:t xml:space="preserve">Trichechus manatus </w:t>
      </w:r>
      <w:proofErr w:type="spellStart"/>
      <w:r w:rsidRPr="001B747A">
        <w:rPr>
          <w:rFonts w:ascii="Calibri" w:eastAsia="Times New Roman" w:hAnsi="Calibri" w:cs="Calibri"/>
          <w:i/>
          <w:iCs/>
          <w:color w:val="000000"/>
          <w:sz w:val="22"/>
          <w:szCs w:val="22"/>
        </w:rPr>
        <w:t>latirostris</w:t>
      </w:r>
      <w:proofErr w:type="spellEnd"/>
      <w:r w:rsidRPr="001B747A">
        <w:rPr>
          <w:rFonts w:ascii="Calibri" w:eastAsia="Times New Roman" w:hAnsi="Calibri" w:cs="Calibri"/>
          <w:color w:val="000000"/>
          <w:sz w:val="22"/>
          <w:szCs w:val="22"/>
        </w:rPr>
        <w:t>)? </w:t>
      </w:r>
    </w:p>
    <w:p w14:paraId="13F44357" w14:textId="77777777" w:rsidR="005303BA" w:rsidRDefault="005303BA" w:rsidP="005303BA">
      <w:pPr>
        <w:rPr>
          <w:rFonts w:ascii="Times New Roman" w:eastAsia="Times New Roman" w:hAnsi="Times New Roman" w:cs="Times New Roman"/>
        </w:rPr>
      </w:pPr>
    </w:p>
    <w:p w14:paraId="1CC82A1D" w14:textId="77777777" w:rsidR="005303BA" w:rsidRPr="001B747A" w:rsidRDefault="005303BA" w:rsidP="005303BA">
      <w:pPr>
        <w:pStyle w:val="ListParagraph"/>
        <w:numPr>
          <w:ilvl w:val="0"/>
          <w:numId w:val="4"/>
        </w:numPr>
        <w:rPr>
          <w:rFonts w:ascii="Times New Roman" w:eastAsia="Times New Roman" w:hAnsi="Times New Roman" w:cs="Times New Roman"/>
        </w:rPr>
      </w:pPr>
      <w:r>
        <w:rPr>
          <w:rFonts w:ascii="Calibri" w:eastAsia="Times New Roman" w:hAnsi="Calibri" w:cs="Calibri"/>
          <w:color w:val="000000"/>
          <w:sz w:val="22"/>
          <w:szCs w:val="22"/>
        </w:rPr>
        <w:t>Two injections of tulathromycin were associated with a prolonged elimination phase with a long half-life</w:t>
      </w:r>
    </w:p>
    <w:p w14:paraId="46045547" w14:textId="77777777" w:rsidR="005303BA" w:rsidRPr="001B747A" w:rsidRDefault="005303BA" w:rsidP="005303BA">
      <w:pPr>
        <w:pStyle w:val="ListParagraph"/>
        <w:numPr>
          <w:ilvl w:val="0"/>
          <w:numId w:val="4"/>
        </w:numPr>
        <w:rPr>
          <w:rFonts w:ascii="Times New Roman" w:eastAsia="Times New Roman" w:hAnsi="Times New Roman" w:cs="Times New Roman"/>
        </w:rPr>
      </w:pPr>
      <w:r>
        <w:rPr>
          <w:rFonts w:ascii="Calibri" w:eastAsia="Times New Roman" w:hAnsi="Calibri" w:cs="Calibri"/>
          <w:color w:val="000000"/>
          <w:sz w:val="22"/>
          <w:szCs w:val="22"/>
        </w:rPr>
        <w:t xml:space="preserve">Injection site inflammation was observed in </w:t>
      </w:r>
      <w:proofErr w:type="gramStart"/>
      <w:r>
        <w:rPr>
          <w:rFonts w:ascii="Calibri" w:eastAsia="Times New Roman" w:hAnsi="Calibri" w:cs="Calibri"/>
          <w:color w:val="000000"/>
          <w:sz w:val="22"/>
          <w:szCs w:val="22"/>
        </w:rPr>
        <w:t>a majority of</w:t>
      </w:r>
      <w:proofErr w:type="gramEnd"/>
      <w:r>
        <w:rPr>
          <w:rFonts w:ascii="Calibri" w:eastAsia="Times New Roman" w:hAnsi="Calibri" w:cs="Calibri"/>
          <w:color w:val="000000"/>
          <w:sz w:val="22"/>
          <w:szCs w:val="22"/>
        </w:rPr>
        <w:t xml:space="preserve"> animals included in this study</w:t>
      </w:r>
    </w:p>
    <w:p w14:paraId="2F486E38" w14:textId="77777777" w:rsidR="005303BA" w:rsidRPr="001B747A" w:rsidRDefault="005303BA" w:rsidP="005303BA">
      <w:pPr>
        <w:pStyle w:val="ListParagraph"/>
        <w:numPr>
          <w:ilvl w:val="0"/>
          <w:numId w:val="4"/>
        </w:numPr>
        <w:rPr>
          <w:rFonts w:ascii="Times New Roman" w:eastAsia="Times New Roman" w:hAnsi="Times New Roman" w:cs="Times New Roman"/>
        </w:rPr>
      </w:pPr>
      <w:r>
        <w:rPr>
          <w:rFonts w:ascii="Calibri" w:eastAsia="Times New Roman" w:hAnsi="Calibri" w:cs="Calibri"/>
          <w:color w:val="000000"/>
          <w:sz w:val="22"/>
          <w:szCs w:val="22"/>
        </w:rPr>
        <w:lastRenderedPageBreak/>
        <w:t>Plasma concentrations did not reach levels presumed to be therapeutic based on pharmacokinetic data in cattle</w:t>
      </w:r>
    </w:p>
    <w:p w14:paraId="08B923A1" w14:textId="77777777" w:rsidR="005303BA" w:rsidRPr="001B747A" w:rsidRDefault="005303BA" w:rsidP="005303BA">
      <w:pPr>
        <w:pStyle w:val="ListParagraph"/>
        <w:numPr>
          <w:ilvl w:val="0"/>
          <w:numId w:val="4"/>
        </w:numPr>
        <w:rPr>
          <w:rFonts w:ascii="Times New Roman" w:eastAsia="Times New Roman" w:hAnsi="Times New Roman" w:cs="Times New Roman"/>
        </w:rPr>
      </w:pPr>
      <w:r w:rsidRPr="001B747A">
        <w:rPr>
          <w:rFonts w:ascii="Calibri" w:eastAsia="Times New Roman" w:hAnsi="Calibri" w:cs="Calibri"/>
          <w:color w:val="000000"/>
          <w:sz w:val="22"/>
          <w:szCs w:val="22"/>
        </w:rPr>
        <w:t xml:space="preserve">The half-life of tulathromycin </w:t>
      </w:r>
      <w:r>
        <w:rPr>
          <w:rFonts w:ascii="Calibri" w:eastAsia="Times New Roman" w:hAnsi="Calibri" w:cs="Calibri"/>
          <w:color w:val="000000"/>
          <w:sz w:val="22"/>
          <w:szCs w:val="22"/>
        </w:rPr>
        <w:t xml:space="preserve">following </w:t>
      </w:r>
      <w:r w:rsidRPr="001B747A">
        <w:rPr>
          <w:rFonts w:ascii="Calibri" w:eastAsia="Times New Roman" w:hAnsi="Calibri" w:cs="Calibri"/>
          <w:color w:val="000000"/>
          <w:sz w:val="22"/>
          <w:szCs w:val="22"/>
        </w:rPr>
        <w:t>a single injection was</w:t>
      </w:r>
      <w:r>
        <w:rPr>
          <w:rFonts w:ascii="Calibri" w:eastAsia="Times New Roman" w:hAnsi="Calibri" w:cs="Calibri"/>
          <w:color w:val="000000"/>
          <w:sz w:val="22"/>
          <w:szCs w:val="22"/>
        </w:rPr>
        <w:t xml:space="preserve"> substantially</w:t>
      </w:r>
      <w:r w:rsidRPr="001B747A">
        <w:rPr>
          <w:rFonts w:ascii="Calibri" w:eastAsia="Times New Roman" w:hAnsi="Calibri" w:cs="Calibri"/>
          <w:color w:val="000000"/>
          <w:sz w:val="22"/>
          <w:szCs w:val="22"/>
        </w:rPr>
        <w:t xml:space="preserve"> longer than the half-life in cattle</w:t>
      </w:r>
    </w:p>
    <w:p w14:paraId="41987D54" w14:textId="77777777" w:rsidR="005303BA" w:rsidRPr="001B747A" w:rsidRDefault="005303BA" w:rsidP="005303BA">
      <w:pPr>
        <w:pStyle w:val="ListParagraph"/>
        <w:numPr>
          <w:ilvl w:val="0"/>
          <w:numId w:val="4"/>
        </w:numPr>
        <w:rPr>
          <w:rFonts w:ascii="Times New Roman" w:eastAsia="Times New Roman" w:hAnsi="Times New Roman" w:cs="Times New Roman"/>
        </w:rPr>
      </w:pPr>
      <w:r w:rsidRPr="001B747A">
        <w:rPr>
          <w:rFonts w:ascii="Calibri" w:eastAsia="Times New Roman" w:hAnsi="Calibri" w:cs="Calibri"/>
          <w:color w:val="000000"/>
          <w:sz w:val="22"/>
          <w:szCs w:val="22"/>
        </w:rPr>
        <w:t xml:space="preserve">There was a small volume of distribution for both the single and </w:t>
      </w:r>
      <w:r>
        <w:rPr>
          <w:rFonts w:ascii="Calibri" w:eastAsia="Times New Roman" w:hAnsi="Calibri" w:cs="Calibri"/>
          <w:color w:val="000000"/>
          <w:sz w:val="22"/>
          <w:szCs w:val="22"/>
        </w:rPr>
        <w:t>double dose regimens</w:t>
      </w:r>
    </w:p>
    <w:p w14:paraId="120CCEF1" w14:textId="77777777" w:rsidR="005303BA" w:rsidRPr="001B747A" w:rsidRDefault="005303BA" w:rsidP="005303BA">
      <w:pPr>
        <w:rPr>
          <w:rFonts w:ascii="Times New Roman" w:eastAsia="Times New Roman" w:hAnsi="Times New Roman" w:cs="Times New Roman"/>
        </w:rPr>
      </w:pPr>
    </w:p>
    <w:p w14:paraId="106BBBB6" w14:textId="77777777" w:rsidR="005303BA" w:rsidRPr="001B747A" w:rsidRDefault="005303BA" w:rsidP="005303BA">
      <w:pPr>
        <w:rPr>
          <w:rFonts w:ascii="Times New Roman" w:eastAsia="Times New Roman" w:hAnsi="Times New Roman" w:cs="Times New Roman"/>
        </w:rPr>
      </w:pPr>
      <w:r w:rsidRPr="001B747A">
        <w:rPr>
          <w:rFonts w:ascii="Calibri" w:eastAsia="Times New Roman" w:hAnsi="Calibri" w:cs="Calibri"/>
          <w:color w:val="000000"/>
          <w:sz w:val="22"/>
          <w:szCs w:val="22"/>
        </w:rPr>
        <w:t>Answer</w:t>
      </w:r>
      <w:r>
        <w:rPr>
          <w:rFonts w:ascii="Calibri" w:eastAsia="Times New Roman" w:hAnsi="Calibri" w:cs="Calibri"/>
          <w:color w:val="000000"/>
          <w:sz w:val="22"/>
          <w:szCs w:val="22"/>
        </w:rPr>
        <w:t>: A</w:t>
      </w:r>
    </w:p>
    <w:p w14:paraId="100CE586" w14:textId="77777777" w:rsidR="005303BA" w:rsidRDefault="005303BA" w:rsidP="005303BA">
      <w:pPr>
        <w:rPr>
          <w:rFonts w:ascii="Calibri" w:eastAsia="Times New Roman" w:hAnsi="Calibri" w:cs="Calibri"/>
          <w:color w:val="000000"/>
          <w:sz w:val="22"/>
          <w:szCs w:val="22"/>
        </w:rPr>
      </w:pPr>
    </w:p>
    <w:p w14:paraId="59CE0631" w14:textId="77777777" w:rsidR="005303BA" w:rsidRPr="00C44C73" w:rsidRDefault="005303BA" w:rsidP="005303BA">
      <w:pPr>
        <w:rPr>
          <w:rFonts w:ascii="Times New Roman" w:eastAsia="Times New Roman" w:hAnsi="Times New Roman" w:cs="Times New Roman"/>
          <w:sz w:val="22"/>
          <w:szCs w:val="22"/>
        </w:rPr>
      </w:pPr>
      <w:r w:rsidRPr="00C44C73">
        <w:rPr>
          <w:rFonts w:ascii="Calibri" w:eastAsia="Times New Roman" w:hAnsi="Calibri" w:cs="Calibri"/>
          <w:color w:val="000000"/>
          <w:sz w:val="22"/>
          <w:szCs w:val="22"/>
        </w:rPr>
        <w:t>Journal of Zoo and Wildlife Medicine, 52(3): 1084-1089, 2021</w:t>
      </w:r>
    </w:p>
    <w:p w14:paraId="4FD06EB3" w14:textId="77777777" w:rsidR="005303BA" w:rsidRPr="00C44C73" w:rsidRDefault="005303BA" w:rsidP="005303BA">
      <w:pPr>
        <w:rPr>
          <w:rFonts w:ascii="Times New Roman" w:eastAsia="Times New Roman" w:hAnsi="Times New Roman" w:cs="Times New Roman"/>
          <w:sz w:val="22"/>
          <w:szCs w:val="22"/>
        </w:rPr>
      </w:pPr>
      <w:r w:rsidRPr="00C44C73">
        <w:rPr>
          <w:rFonts w:ascii="Calibri" w:eastAsia="Times New Roman" w:hAnsi="Calibri" w:cs="Calibri"/>
          <w:b/>
          <w:bCs/>
          <w:color w:val="000000"/>
          <w:sz w:val="22"/>
          <w:szCs w:val="22"/>
        </w:rPr>
        <w:t>PRESENTATION AND MANAGEMENT OF DENTAL PAD FRACTURES IN TWO FLORIDA MANATEES (</w:t>
      </w:r>
      <w:r w:rsidRPr="00C44C73">
        <w:rPr>
          <w:rFonts w:ascii="Calibri" w:eastAsia="Times New Roman" w:hAnsi="Calibri" w:cs="Calibri"/>
          <w:b/>
          <w:bCs/>
          <w:i/>
          <w:iCs/>
          <w:color w:val="000000"/>
          <w:sz w:val="22"/>
          <w:szCs w:val="22"/>
        </w:rPr>
        <w:t>TRICHECHUS MANATUS LATIROSTRIS</w:t>
      </w:r>
      <w:r w:rsidRPr="00C44C73">
        <w:rPr>
          <w:rFonts w:ascii="Calibri" w:eastAsia="Times New Roman" w:hAnsi="Calibri" w:cs="Calibri"/>
          <w:b/>
          <w:bCs/>
          <w:color w:val="000000"/>
          <w:sz w:val="22"/>
          <w:szCs w:val="22"/>
        </w:rPr>
        <w:t>)</w:t>
      </w:r>
    </w:p>
    <w:p w14:paraId="0A33AE42" w14:textId="77777777" w:rsidR="005303BA" w:rsidRPr="00C44C73" w:rsidRDefault="005303BA" w:rsidP="005303BA">
      <w:pPr>
        <w:rPr>
          <w:rFonts w:ascii="Times New Roman" w:eastAsia="Times New Roman" w:hAnsi="Times New Roman" w:cs="Times New Roman"/>
          <w:sz w:val="22"/>
          <w:szCs w:val="22"/>
        </w:rPr>
      </w:pPr>
      <w:r w:rsidRPr="00C44C73">
        <w:rPr>
          <w:rFonts w:ascii="Calibri" w:eastAsia="Times New Roman" w:hAnsi="Calibri" w:cs="Calibri"/>
          <w:color w:val="000000"/>
          <w:sz w:val="22"/>
          <w:szCs w:val="22"/>
        </w:rPr>
        <w:t xml:space="preserve">Whitney Greene, Vivian M. Lee, Lynne Byrd, Laura </w:t>
      </w:r>
      <w:proofErr w:type="spellStart"/>
      <w:r w:rsidRPr="00C44C73">
        <w:rPr>
          <w:rFonts w:ascii="Calibri" w:eastAsia="Times New Roman" w:hAnsi="Calibri" w:cs="Calibri"/>
          <w:color w:val="000000"/>
          <w:sz w:val="22"/>
          <w:szCs w:val="22"/>
        </w:rPr>
        <w:t>Denum</w:t>
      </w:r>
      <w:proofErr w:type="spellEnd"/>
      <w:r w:rsidRPr="00C44C73">
        <w:rPr>
          <w:rFonts w:ascii="Calibri" w:eastAsia="Times New Roman" w:hAnsi="Calibri" w:cs="Calibri"/>
          <w:color w:val="000000"/>
          <w:sz w:val="22"/>
          <w:szCs w:val="22"/>
        </w:rPr>
        <w:t>, Katharine Boerner, M. Andrew Stamper</w:t>
      </w:r>
    </w:p>
    <w:p w14:paraId="7BB0DCA9" w14:textId="77777777" w:rsidR="005303BA" w:rsidRPr="00DB09B1" w:rsidRDefault="005303BA" w:rsidP="005303BA">
      <w:pPr>
        <w:rPr>
          <w:sz w:val="22"/>
          <w:szCs w:val="22"/>
        </w:rPr>
      </w:pPr>
    </w:p>
    <w:p w14:paraId="4B0E328F" w14:textId="77777777" w:rsidR="005303BA" w:rsidRPr="00DB09B1" w:rsidRDefault="005303BA" w:rsidP="005303BA">
      <w:pPr>
        <w:rPr>
          <w:sz w:val="22"/>
          <w:szCs w:val="22"/>
        </w:rPr>
      </w:pPr>
      <w:r w:rsidRPr="00DB09B1">
        <w:rPr>
          <w:sz w:val="22"/>
          <w:szCs w:val="22"/>
        </w:rPr>
        <w:t xml:space="preserve">Slide question: Describe how you would manage a dental pad fracture in a Florida manatee. </w:t>
      </w:r>
    </w:p>
    <w:p w14:paraId="7AB678D4" w14:textId="77777777" w:rsidR="005303BA" w:rsidRPr="00DB09B1" w:rsidRDefault="005303BA" w:rsidP="005303BA">
      <w:pPr>
        <w:rPr>
          <w:sz w:val="22"/>
          <w:szCs w:val="22"/>
        </w:rPr>
      </w:pPr>
      <w:r w:rsidRPr="00C44C73">
        <w:rPr>
          <w:rFonts w:ascii="Calibri" w:eastAsia="Times New Roman" w:hAnsi="Calibri" w:cs="Calibri"/>
          <w:color w:val="000000"/>
          <w:sz w:val="22"/>
          <w:szCs w:val="22"/>
          <w:bdr w:val="none" w:sz="0" w:space="0" w:color="auto" w:frame="1"/>
        </w:rPr>
        <w:fldChar w:fldCharType="begin"/>
      </w:r>
      <w:r w:rsidRPr="00C44C73">
        <w:rPr>
          <w:rFonts w:ascii="Calibri" w:eastAsia="Times New Roman" w:hAnsi="Calibri" w:cs="Calibri"/>
          <w:color w:val="000000"/>
          <w:sz w:val="22"/>
          <w:szCs w:val="22"/>
          <w:bdr w:val="none" w:sz="0" w:space="0" w:color="auto" w:frame="1"/>
        </w:rPr>
        <w:instrText xml:space="preserve"> INCLUDEPICTURE "https://lh7-rt.googleusercontent.com/docsz/AD_4nXdIV2ycrBCVW_dsjcZQ2dN9PpHUL-FcEUvgLM8BBdU3dwKGxLsnQkkptWZLh-0KM1cIzsX63GwhIIn9nSQrBtQIoxpW_qslagpkQmIjFsZq7eZ9_jXXXgQWevVWB_sGNuPdgo-7yWXUYtZeD9ZCJv1fAr1q?key=60u5FsWPlp3WsQ5neaPJHg" \* MERGEFORMATINET </w:instrText>
      </w:r>
      <w:r w:rsidRPr="00C44C73">
        <w:rPr>
          <w:rFonts w:ascii="Calibri" w:eastAsia="Times New Roman" w:hAnsi="Calibri" w:cs="Calibri"/>
          <w:color w:val="000000"/>
          <w:sz w:val="22"/>
          <w:szCs w:val="22"/>
          <w:bdr w:val="none" w:sz="0" w:space="0" w:color="auto" w:frame="1"/>
        </w:rPr>
        <w:fldChar w:fldCharType="separate"/>
      </w:r>
      <w:r w:rsidRPr="00DB09B1">
        <w:rPr>
          <w:rFonts w:ascii="Calibri" w:eastAsia="Times New Roman" w:hAnsi="Calibri" w:cs="Calibri"/>
          <w:noProof/>
          <w:color w:val="000000"/>
          <w:sz w:val="22"/>
          <w:szCs w:val="22"/>
          <w:bdr w:val="none" w:sz="0" w:space="0" w:color="auto" w:frame="1"/>
        </w:rPr>
        <w:drawing>
          <wp:inline distT="0" distB="0" distL="0" distR="0" wp14:anchorId="4CA6E8FF" wp14:editId="3A456345">
            <wp:extent cx="4089115" cy="3423055"/>
            <wp:effectExtent l="0" t="0" r="635" b="6350"/>
            <wp:docPr id="2130489535" name="Picture 3" descr="Close-up of a crack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9535" name="Picture 1" descr="Close-up of a crack presentation&#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13417" t="17570" r="50185" b="41334"/>
                    <a:stretch/>
                  </pic:blipFill>
                  <pic:spPr bwMode="auto">
                    <a:xfrm>
                      <a:off x="0" y="0"/>
                      <a:ext cx="4104125" cy="3435620"/>
                    </a:xfrm>
                    <a:prstGeom prst="rect">
                      <a:avLst/>
                    </a:prstGeom>
                    <a:noFill/>
                    <a:ln>
                      <a:noFill/>
                    </a:ln>
                    <a:extLst>
                      <a:ext uri="{53640926-AAD7-44D8-BBD7-CCE9431645EC}">
                        <a14:shadowObscured xmlns:a14="http://schemas.microsoft.com/office/drawing/2010/main"/>
                      </a:ext>
                    </a:extLst>
                  </pic:spPr>
                </pic:pic>
              </a:graphicData>
            </a:graphic>
          </wp:inline>
        </w:drawing>
      </w:r>
      <w:r w:rsidRPr="00C44C73">
        <w:rPr>
          <w:rFonts w:ascii="Calibri" w:eastAsia="Times New Roman" w:hAnsi="Calibri" w:cs="Calibri"/>
          <w:color w:val="000000"/>
          <w:sz w:val="22"/>
          <w:szCs w:val="22"/>
          <w:bdr w:val="none" w:sz="0" w:space="0" w:color="auto" w:frame="1"/>
        </w:rPr>
        <w:fldChar w:fldCharType="end"/>
      </w:r>
    </w:p>
    <w:p w14:paraId="454657E6" w14:textId="77777777" w:rsidR="005303BA" w:rsidRPr="00DB09B1" w:rsidRDefault="005303BA" w:rsidP="005303BA">
      <w:pPr>
        <w:rPr>
          <w:sz w:val="22"/>
          <w:szCs w:val="22"/>
        </w:rPr>
      </w:pPr>
    </w:p>
    <w:p w14:paraId="36A6E833" w14:textId="77777777" w:rsidR="005303BA" w:rsidRPr="00DB09B1" w:rsidRDefault="005303BA" w:rsidP="005303BA">
      <w:pPr>
        <w:rPr>
          <w:sz w:val="22"/>
          <w:szCs w:val="22"/>
        </w:rPr>
      </w:pPr>
      <w:r w:rsidRPr="00DB09B1">
        <w:rPr>
          <w:sz w:val="22"/>
          <w:szCs w:val="22"/>
        </w:rPr>
        <w:t xml:space="preserve">Answer: </w:t>
      </w:r>
    </w:p>
    <w:p w14:paraId="3C26B79B" w14:textId="77777777" w:rsidR="005303BA" w:rsidRPr="00DB09B1" w:rsidRDefault="005303BA" w:rsidP="005303BA">
      <w:pPr>
        <w:pStyle w:val="ListParagraph"/>
        <w:numPr>
          <w:ilvl w:val="0"/>
          <w:numId w:val="3"/>
        </w:numPr>
        <w:rPr>
          <w:sz w:val="22"/>
          <w:szCs w:val="22"/>
        </w:rPr>
      </w:pPr>
      <w:r w:rsidRPr="00DB09B1">
        <w:rPr>
          <w:sz w:val="22"/>
          <w:szCs w:val="22"/>
        </w:rPr>
        <w:t xml:space="preserve">Diet modification: Food items should be tailored to decrease pressure points on the dental pads during mastication. For example, greens should be offered as leaves only without bases, and biscuits should be soaked in water to soften them prior to feeding. Enrichment/food items should be cut into small pieces or boiled so that they can be easily smashed. </w:t>
      </w:r>
    </w:p>
    <w:p w14:paraId="345E8F4C" w14:textId="77777777" w:rsidR="005303BA" w:rsidRPr="00DB09B1" w:rsidRDefault="005303BA" w:rsidP="005303BA">
      <w:pPr>
        <w:pStyle w:val="ListParagraph"/>
        <w:numPr>
          <w:ilvl w:val="0"/>
          <w:numId w:val="3"/>
        </w:numPr>
        <w:rPr>
          <w:sz w:val="22"/>
          <w:szCs w:val="22"/>
        </w:rPr>
      </w:pPr>
      <w:r w:rsidRPr="00DB09B1">
        <w:rPr>
          <w:sz w:val="22"/>
          <w:szCs w:val="22"/>
        </w:rPr>
        <w:t xml:space="preserve">Dental pad trimming: The dental pad can be trimmed with surgical </w:t>
      </w:r>
      <w:proofErr w:type="gramStart"/>
      <w:r w:rsidRPr="00DB09B1">
        <w:rPr>
          <w:sz w:val="22"/>
          <w:szCs w:val="22"/>
        </w:rPr>
        <w:t>scissors</w:t>
      </w:r>
      <w:proofErr w:type="gramEnd"/>
      <w:r w:rsidRPr="00DB09B1">
        <w:rPr>
          <w:sz w:val="22"/>
          <w:szCs w:val="22"/>
        </w:rPr>
        <w:t xml:space="preserve"> or a scalpel blade as needed</w:t>
      </w:r>
      <w:r>
        <w:rPr>
          <w:sz w:val="22"/>
          <w:szCs w:val="22"/>
        </w:rPr>
        <w:t xml:space="preserve">, ideally via behavioral husbandry training. </w:t>
      </w:r>
    </w:p>
    <w:p w14:paraId="2AAC3638" w14:textId="77777777" w:rsidR="005303BA" w:rsidRPr="00DB09B1" w:rsidRDefault="005303BA" w:rsidP="005303BA">
      <w:pPr>
        <w:pStyle w:val="ListParagraph"/>
        <w:numPr>
          <w:ilvl w:val="0"/>
          <w:numId w:val="3"/>
        </w:numPr>
        <w:rPr>
          <w:sz w:val="22"/>
          <w:szCs w:val="22"/>
        </w:rPr>
      </w:pPr>
      <w:r w:rsidRPr="00DB09B1">
        <w:rPr>
          <w:sz w:val="22"/>
          <w:szCs w:val="22"/>
        </w:rPr>
        <w:t>Vigilant monitoring, ideally through behavioral husbandry training</w:t>
      </w:r>
    </w:p>
    <w:p w14:paraId="2BA8D37E" w14:textId="77777777" w:rsidR="005303BA" w:rsidRPr="00DB09B1" w:rsidRDefault="005303BA" w:rsidP="005303BA">
      <w:pPr>
        <w:pStyle w:val="ListParagraph"/>
        <w:numPr>
          <w:ilvl w:val="0"/>
          <w:numId w:val="3"/>
        </w:numPr>
        <w:rPr>
          <w:sz w:val="22"/>
          <w:szCs w:val="22"/>
        </w:rPr>
      </w:pPr>
      <w:r w:rsidRPr="00DB09B1">
        <w:rPr>
          <w:sz w:val="22"/>
          <w:szCs w:val="22"/>
        </w:rPr>
        <w:t>If the dental pad fracture fails to resolve, surgical intervention may be considered</w:t>
      </w:r>
    </w:p>
    <w:p w14:paraId="070AA608" w14:textId="77777777" w:rsidR="005303BA" w:rsidRDefault="005303BA" w:rsidP="005303BA">
      <w:pPr>
        <w:rPr>
          <w:rFonts w:ascii="Times New Roman" w:eastAsia="Times New Roman" w:hAnsi="Times New Roman" w:cs="Times New Roman"/>
        </w:rPr>
      </w:pPr>
    </w:p>
    <w:p w14:paraId="3E9030C9" w14:textId="77777777" w:rsidR="005303BA" w:rsidRDefault="005303BA" w:rsidP="005303BA">
      <w:pPr>
        <w:rPr>
          <w:rFonts w:ascii="Times New Roman" w:eastAsia="Times New Roman" w:hAnsi="Times New Roman" w:cs="Times New Roman"/>
        </w:rPr>
      </w:pPr>
    </w:p>
    <w:p w14:paraId="62AD0FE9" w14:textId="77777777" w:rsidR="005303BA" w:rsidRDefault="005303BA" w:rsidP="005303BA">
      <w:pPr>
        <w:numPr>
          <w:ilvl w:val="0"/>
          <w:numId w:val="5"/>
        </w:numPr>
        <w:spacing w:line="276" w:lineRule="auto"/>
      </w:pPr>
      <w:r>
        <w:lastRenderedPageBreak/>
        <w:t xml:space="preserve">Which of the following is more likely to affect </w:t>
      </w:r>
      <w:r>
        <w:rPr>
          <w:i/>
          <w:sz w:val="20"/>
          <w:szCs w:val="20"/>
        </w:rPr>
        <w:t xml:space="preserve">Trichechus manatus </w:t>
      </w:r>
      <w:proofErr w:type="spellStart"/>
      <w:r>
        <w:rPr>
          <w:i/>
          <w:sz w:val="20"/>
          <w:szCs w:val="20"/>
        </w:rPr>
        <w:t>latirostris</w:t>
      </w:r>
      <w:proofErr w:type="spellEnd"/>
      <w:r>
        <w:rPr>
          <w:sz w:val="20"/>
          <w:szCs w:val="20"/>
        </w:rPr>
        <w:t>?</w:t>
      </w:r>
    </w:p>
    <w:p w14:paraId="2448434F" w14:textId="77777777" w:rsidR="005303BA" w:rsidRDefault="005303BA" w:rsidP="005303BA">
      <w:pPr>
        <w:numPr>
          <w:ilvl w:val="1"/>
          <w:numId w:val="5"/>
        </w:numPr>
        <w:spacing w:line="276" w:lineRule="auto"/>
        <w:rPr>
          <w:sz w:val="20"/>
          <w:szCs w:val="20"/>
        </w:rPr>
      </w:pPr>
      <w:r>
        <w:rPr>
          <w:sz w:val="20"/>
          <w:szCs w:val="20"/>
        </w:rPr>
        <w:t>Domoic Acid</w:t>
      </w:r>
    </w:p>
    <w:p w14:paraId="034B0359" w14:textId="77777777" w:rsidR="005303BA" w:rsidRDefault="005303BA" w:rsidP="005303BA">
      <w:pPr>
        <w:numPr>
          <w:ilvl w:val="1"/>
          <w:numId w:val="5"/>
        </w:numPr>
        <w:spacing w:line="276" w:lineRule="auto"/>
        <w:rPr>
          <w:sz w:val="20"/>
          <w:szCs w:val="20"/>
        </w:rPr>
      </w:pPr>
      <w:r>
        <w:rPr>
          <w:sz w:val="20"/>
          <w:szCs w:val="20"/>
        </w:rPr>
        <w:t>Microcystis</w:t>
      </w:r>
    </w:p>
    <w:p w14:paraId="6FCC120B" w14:textId="77777777" w:rsidR="005303BA" w:rsidRDefault="005303BA" w:rsidP="005303BA">
      <w:pPr>
        <w:numPr>
          <w:ilvl w:val="1"/>
          <w:numId w:val="5"/>
        </w:numPr>
        <w:spacing w:line="276" w:lineRule="auto"/>
        <w:rPr>
          <w:sz w:val="20"/>
          <w:szCs w:val="20"/>
        </w:rPr>
      </w:pPr>
      <w:r>
        <w:rPr>
          <w:sz w:val="20"/>
          <w:szCs w:val="20"/>
        </w:rPr>
        <w:t>Okadaic Acid</w:t>
      </w:r>
    </w:p>
    <w:p w14:paraId="02DD305B" w14:textId="77777777" w:rsidR="005303BA" w:rsidRDefault="005303BA" w:rsidP="005303BA">
      <w:pPr>
        <w:numPr>
          <w:ilvl w:val="1"/>
          <w:numId w:val="5"/>
        </w:numPr>
        <w:spacing w:line="276" w:lineRule="auto"/>
        <w:rPr>
          <w:sz w:val="20"/>
          <w:szCs w:val="20"/>
        </w:rPr>
      </w:pPr>
      <w:proofErr w:type="spellStart"/>
      <w:r>
        <w:rPr>
          <w:sz w:val="20"/>
          <w:szCs w:val="20"/>
        </w:rPr>
        <w:t>Brevetoxin</w:t>
      </w:r>
      <w:proofErr w:type="spellEnd"/>
    </w:p>
    <w:p w14:paraId="7A94BCF1" w14:textId="77777777" w:rsidR="005303BA" w:rsidRDefault="005303BA" w:rsidP="005303BA">
      <w:pPr>
        <w:numPr>
          <w:ilvl w:val="1"/>
          <w:numId w:val="5"/>
        </w:numPr>
        <w:spacing w:line="276" w:lineRule="auto"/>
        <w:rPr>
          <w:sz w:val="20"/>
          <w:szCs w:val="20"/>
        </w:rPr>
      </w:pPr>
      <w:r>
        <w:rPr>
          <w:sz w:val="20"/>
          <w:szCs w:val="20"/>
        </w:rPr>
        <w:t>Saxitoxin</w:t>
      </w:r>
    </w:p>
    <w:p w14:paraId="37215800" w14:textId="77777777" w:rsidR="005303BA" w:rsidRDefault="005303BA" w:rsidP="005303BA">
      <w:pPr>
        <w:rPr>
          <w:sz w:val="20"/>
          <w:szCs w:val="20"/>
        </w:rPr>
      </w:pPr>
    </w:p>
    <w:p w14:paraId="1539B884" w14:textId="77777777" w:rsidR="005303BA" w:rsidRDefault="005303BA" w:rsidP="005303BA">
      <w:pPr>
        <w:rPr>
          <w:sz w:val="20"/>
          <w:szCs w:val="20"/>
        </w:rPr>
      </w:pPr>
      <w:r>
        <w:rPr>
          <w:sz w:val="20"/>
          <w:szCs w:val="20"/>
        </w:rPr>
        <w:t>Answer: D:</w:t>
      </w:r>
    </w:p>
    <w:p w14:paraId="6268627D" w14:textId="77777777" w:rsidR="005303BA" w:rsidRDefault="005303BA" w:rsidP="005303BA">
      <w:pPr>
        <w:rPr>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303BA" w14:paraId="1A1AC6AC" w14:textId="77777777" w:rsidTr="00952B1E">
        <w:tc>
          <w:tcPr>
            <w:tcW w:w="3120" w:type="dxa"/>
            <w:shd w:val="clear" w:color="auto" w:fill="auto"/>
            <w:tcMar>
              <w:top w:w="100" w:type="dxa"/>
              <w:left w:w="100" w:type="dxa"/>
              <w:bottom w:w="100" w:type="dxa"/>
              <w:right w:w="100" w:type="dxa"/>
            </w:tcMar>
          </w:tcPr>
          <w:p w14:paraId="59973AA3" w14:textId="77777777" w:rsidR="005303BA" w:rsidRDefault="005303BA" w:rsidP="00952B1E">
            <w:pPr>
              <w:widowControl w:val="0"/>
              <w:pBdr>
                <w:top w:val="nil"/>
                <w:left w:val="nil"/>
                <w:bottom w:val="nil"/>
                <w:right w:val="nil"/>
                <w:between w:val="nil"/>
              </w:pBdr>
              <w:jc w:val="center"/>
              <w:rPr>
                <w:b/>
                <w:sz w:val="20"/>
                <w:szCs w:val="20"/>
              </w:rPr>
            </w:pPr>
            <w:r>
              <w:rPr>
                <w:b/>
                <w:sz w:val="20"/>
                <w:szCs w:val="20"/>
              </w:rPr>
              <w:t>Toxin</w:t>
            </w:r>
          </w:p>
        </w:tc>
        <w:tc>
          <w:tcPr>
            <w:tcW w:w="3120" w:type="dxa"/>
            <w:shd w:val="clear" w:color="auto" w:fill="auto"/>
            <w:tcMar>
              <w:top w:w="100" w:type="dxa"/>
              <w:left w:w="100" w:type="dxa"/>
              <w:bottom w:w="100" w:type="dxa"/>
              <w:right w:w="100" w:type="dxa"/>
            </w:tcMar>
          </w:tcPr>
          <w:p w14:paraId="19B16844" w14:textId="77777777" w:rsidR="005303BA" w:rsidRDefault="005303BA" w:rsidP="00952B1E">
            <w:pPr>
              <w:widowControl w:val="0"/>
              <w:pBdr>
                <w:top w:val="nil"/>
                <w:left w:val="nil"/>
                <w:bottom w:val="nil"/>
                <w:right w:val="nil"/>
                <w:between w:val="nil"/>
              </w:pBdr>
              <w:jc w:val="center"/>
              <w:rPr>
                <w:b/>
                <w:sz w:val="20"/>
                <w:szCs w:val="20"/>
              </w:rPr>
            </w:pPr>
            <w:r>
              <w:rPr>
                <w:b/>
                <w:sz w:val="20"/>
                <w:szCs w:val="20"/>
              </w:rPr>
              <w:t>Organ system/Signs</w:t>
            </w:r>
          </w:p>
        </w:tc>
        <w:tc>
          <w:tcPr>
            <w:tcW w:w="3120" w:type="dxa"/>
            <w:shd w:val="clear" w:color="auto" w:fill="auto"/>
            <w:tcMar>
              <w:top w:w="100" w:type="dxa"/>
              <w:left w:w="100" w:type="dxa"/>
              <w:bottom w:w="100" w:type="dxa"/>
              <w:right w:w="100" w:type="dxa"/>
            </w:tcMar>
          </w:tcPr>
          <w:p w14:paraId="45F9C581" w14:textId="77777777" w:rsidR="005303BA" w:rsidRDefault="005303BA" w:rsidP="00952B1E">
            <w:pPr>
              <w:widowControl w:val="0"/>
              <w:pBdr>
                <w:top w:val="nil"/>
                <w:left w:val="nil"/>
                <w:bottom w:val="nil"/>
                <w:right w:val="nil"/>
                <w:between w:val="nil"/>
              </w:pBdr>
              <w:jc w:val="center"/>
              <w:rPr>
                <w:b/>
                <w:sz w:val="20"/>
                <w:szCs w:val="20"/>
              </w:rPr>
            </w:pPr>
            <w:r>
              <w:rPr>
                <w:b/>
                <w:sz w:val="20"/>
                <w:szCs w:val="20"/>
              </w:rPr>
              <w:t>Animal (specific)</w:t>
            </w:r>
          </w:p>
        </w:tc>
      </w:tr>
      <w:tr w:rsidR="005303BA" w14:paraId="4C3A79F8" w14:textId="77777777" w:rsidTr="00952B1E">
        <w:tc>
          <w:tcPr>
            <w:tcW w:w="3120" w:type="dxa"/>
            <w:shd w:val="clear" w:color="auto" w:fill="auto"/>
            <w:tcMar>
              <w:top w:w="100" w:type="dxa"/>
              <w:left w:w="100" w:type="dxa"/>
              <w:bottom w:w="100" w:type="dxa"/>
              <w:right w:w="100" w:type="dxa"/>
            </w:tcMar>
          </w:tcPr>
          <w:p w14:paraId="1044820A" w14:textId="77777777" w:rsidR="005303BA" w:rsidRDefault="005303BA" w:rsidP="00952B1E">
            <w:pPr>
              <w:widowControl w:val="0"/>
              <w:pBdr>
                <w:top w:val="nil"/>
                <w:left w:val="nil"/>
                <w:bottom w:val="nil"/>
                <w:right w:val="nil"/>
                <w:between w:val="nil"/>
              </w:pBdr>
              <w:rPr>
                <w:sz w:val="20"/>
                <w:szCs w:val="20"/>
              </w:rPr>
            </w:pPr>
            <w:proofErr w:type="spellStart"/>
            <w:r>
              <w:rPr>
                <w:sz w:val="20"/>
                <w:szCs w:val="20"/>
              </w:rPr>
              <w:t>Brevetoxin</w:t>
            </w:r>
            <w:proofErr w:type="spellEnd"/>
            <w:r>
              <w:rPr>
                <w:sz w:val="20"/>
                <w:szCs w:val="20"/>
              </w:rPr>
              <w:t xml:space="preserve"> (bind to voltage gated Na channels)</w:t>
            </w:r>
          </w:p>
        </w:tc>
        <w:tc>
          <w:tcPr>
            <w:tcW w:w="3120" w:type="dxa"/>
            <w:shd w:val="clear" w:color="auto" w:fill="auto"/>
            <w:tcMar>
              <w:top w:w="100" w:type="dxa"/>
              <w:left w:w="100" w:type="dxa"/>
              <w:bottom w:w="100" w:type="dxa"/>
              <w:right w:w="100" w:type="dxa"/>
            </w:tcMar>
          </w:tcPr>
          <w:p w14:paraId="2F3D6D09" w14:textId="77777777" w:rsidR="005303BA" w:rsidRDefault="005303BA" w:rsidP="00952B1E">
            <w:pPr>
              <w:widowControl w:val="0"/>
              <w:pBdr>
                <w:top w:val="nil"/>
                <w:left w:val="nil"/>
                <w:bottom w:val="nil"/>
                <w:right w:val="nil"/>
                <w:between w:val="nil"/>
              </w:pBdr>
              <w:rPr>
                <w:sz w:val="20"/>
                <w:szCs w:val="20"/>
              </w:rPr>
            </w:pPr>
            <w:r>
              <w:rPr>
                <w:sz w:val="20"/>
                <w:szCs w:val="20"/>
              </w:rPr>
              <w:t>Respiratory and Neurologic</w:t>
            </w:r>
          </w:p>
        </w:tc>
        <w:tc>
          <w:tcPr>
            <w:tcW w:w="3120" w:type="dxa"/>
            <w:shd w:val="clear" w:color="auto" w:fill="auto"/>
            <w:tcMar>
              <w:top w:w="100" w:type="dxa"/>
              <w:left w:w="100" w:type="dxa"/>
              <w:bottom w:w="100" w:type="dxa"/>
              <w:right w:w="100" w:type="dxa"/>
            </w:tcMar>
          </w:tcPr>
          <w:p w14:paraId="628CBCF9" w14:textId="77777777" w:rsidR="005303BA" w:rsidRDefault="005303BA" w:rsidP="00952B1E">
            <w:pPr>
              <w:widowControl w:val="0"/>
              <w:pBdr>
                <w:top w:val="nil"/>
                <w:left w:val="nil"/>
                <w:bottom w:val="nil"/>
                <w:right w:val="nil"/>
                <w:between w:val="nil"/>
              </w:pBdr>
              <w:rPr>
                <w:sz w:val="20"/>
                <w:szCs w:val="20"/>
              </w:rPr>
            </w:pPr>
            <w:r>
              <w:rPr>
                <w:sz w:val="20"/>
                <w:szCs w:val="20"/>
              </w:rPr>
              <w:t>Manatee and Bottlenose dolphin</w:t>
            </w:r>
          </w:p>
        </w:tc>
      </w:tr>
      <w:tr w:rsidR="005303BA" w14:paraId="38B3BDA4" w14:textId="77777777" w:rsidTr="00952B1E">
        <w:tc>
          <w:tcPr>
            <w:tcW w:w="3120" w:type="dxa"/>
            <w:shd w:val="clear" w:color="auto" w:fill="auto"/>
            <w:tcMar>
              <w:top w:w="100" w:type="dxa"/>
              <w:left w:w="100" w:type="dxa"/>
              <w:bottom w:w="100" w:type="dxa"/>
              <w:right w:w="100" w:type="dxa"/>
            </w:tcMar>
          </w:tcPr>
          <w:p w14:paraId="7A65ECF1" w14:textId="77777777" w:rsidR="005303BA" w:rsidRDefault="005303BA" w:rsidP="00952B1E">
            <w:pPr>
              <w:widowControl w:val="0"/>
              <w:pBdr>
                <w:top w:val="nil"/>
                <w:left w:val="nil"/>
                <w:bottom w:val="nil"/>
                <w:right w:val="nil"/>
                <w:between w:val="nil"/>
              </w:pBdr>
              <w:rPr>
                <w:sz w:val="20"/>
                <w:szCs w:val="20"/>
              </w:rPr>
            </w:pPr>
            <w:r>
              <w:rPr>
                <w:sz w:val="20"/>
                <w:szCs w:val="20"/>
              </w:rPr>
              <w:t>Domoic Acid (activate glutamate receptors)</w:t>
            </w:r>
          </w:p>
        </w:tc>
        <w:tc>
          <w:tcPr>
            <w:tcW w:w="3120" w:type="dxa"/>
            <w:shd w:val="clear" w:color="auto" w:fill="auto"/>
            <w:tcMar>
              <w:top w:w="100" w:type="dxa"/>
              <w:left w:w="100" w:type="dxa"/>
              <w:bottom w:w="100" w:type="dxa"/>
              <w:right w:w="100" w:type="dxa"/>
            </w:tcMar>
          </w:tcPr>
          <w:p w14:paraId="333FCF30" w14:textId="77777777" w:rsidR="005303BA" w:rsidRDefault="005303BA" w:rsidP="00952B1E">
            <w:pPr>
              <w:widowControl w:val="0"/>
              <w:pBdr>
                <w:top w:val="nil"/>
                <w:left w:val="nil"/>
                <w:bottom w:val="nil"/>
                <w:right w:val="nil"/>
                <w:between w:val="nil"/>
              </w:pBdr>
              <w:rPr>
                <w:sz w:val="20"/>
                <w:szCs w:val="20"/>
              </w:rPr>
            </w:pPr>
            <w:r>
              <w:rPr>
                <w:sz w:val="20"/>
                <w:szCs w:val="20"/>
              </w:rPr>
              <w:t>Neurologic signs</w:t>
            </w:r>
          </w:p>
          <w:p w14:paraId="31FC452C" w14:textId="77777777" w:rsidR="005303BA" w:rsidRDefault="005303BA" w:rsidP="00952B1E">
            <w:pPr>
              <w:widowControl w:val="0"/>
              <w:pBdr>
                <w:top w:val="nil"/>
                <w:left w:val="nil"/>
                <w:bottom w:val="nil"/>
                <w:right w:val="nil"/>
                <w:between w:val="nil"/>
              </w:pBdr>
              <w:rPr>
                <w:sz w:val="20"/>
                <w:szCs w:val="20"/>
              </w:rPr>
            </w:pPr>
            <w:r>
              <w:rPr>
                <w:sz w:val="20"/>
                <w:szCs w:val="20"/>
              </w:rPr>
              <w:t>Spontaneous abortion (pinnipeds)</w:t>
            </w:r>
          </w:p>
        </w:tc>
        <w:tc>
          <w:tcPr>
            <w:tcW w:w="3120" w:type="dxa"/>
            <w:shd w:val="clear" w:color="auto" w:fill="auto"/>
            <w:tcMar>
              <w:top w:w="100" w:type="dxa"/>
              <w:left w:w="100" w:type="dxa"/>
              <w:bottom w:w="100" w:type="dxa"/>
              <w:right w:w="100" w:type="dxa"/>
            </w:tcMar>
          </w:tcPr>
          <w:p w14:paraId="35F66F91" w14:textId="77777777" w:rsidR="005303BA" w:rsidRDefault="005303BA" w:rsidP="00952B1E">
            <w:pPr>
              <w:widowControl w:val="0"/>
              <w:pBdr>
                <w:top w:val="nil"/>
                <w:left w:val="nil"/>
                <w:bottom w:val="nil"/>
                <w:right w:val="nil"/>
                <w:between w:val="nil"/>
              </w:pBdr>
              <w:rPr>
                <w:sz w:val="20"/>
                <w:szCs w:val="20"/>
              </w:rPr>
            </w:pPr>
            <w:r>
              <w:rPr>
                <w:sz w:val="20"/>
                <w:szCs w:val="20"/>
              </w:rPr>
              <w:t>California sea lions and various dolphins</w:t>
            </w:r>
          </w:p>
          <w:p w14:paraId="4A22EB90" w14:textId="77777777" w:rsidR="005303BA" w:rsidRDefault="005303BA" w:rsidP="00952B1E">
            <w:pPr>
              <w:widowControl w:val="0"/>
              <w:pBdr>
                <w:top w:val="nil"/>
                <w:left w:val="nil"/>
                <w:bottom w:val="nil"/>
                <w:right w:val="nil"/>
                <w:between w:val="nil"/>
              </w:pBdr>
              <w:rPr>
                <w:sz w:val="20"/>
                <w:szCs w:val="20"/>
              </w:rPr>
            </w:pPr>
            <w:r>
              <w:rPr>
                <w:sz w:val="20"/>
                <w:szCs w:val="20"/>
              </w:rPr>
              <w:t>Pinnipeds, cetaceans, and sea otters (myocarditis)</w:t>
            </w:r>
          </w:p>
        </w:tc>
      </w:tr>
      <w:tr w:rsidR="005303BA" w14:paraId="334B6C7A" w14:textId="77777777" w:rsidTr="00952B1E">
        <w:tc>
          <w:tcPr>
            <w:tcW w:w="3120" w:type="dxa"/>
            <w:shd w:val="clear" w:color="auto" w:fill="auto"/>
            <w:tcMar>
              <w:top w:w="100" w:type="dxa"/>
              <w:left w:w="100" w:type="dxa"/>
              <w:bottom w:w="100" w:type="dxa"/>
              <w:right w:w="100" w:type="dxa"/>
            </w:tcMar>
          </w:tcPr>
          <w:p w14:paraId="627F1D9C" w14:textId="77777777" w:rsidR="005303BA" w:rsidRDefault="005303BA" w:rsidP="00952B1E">
            <w:pPr>
              <w:widowControl w:val="0"/>
              <w:pBdr>
                <w:top w:val="nil"/>
                <w:left w:val="nil"/>
                <w:bottom w:val="nil"/>
                <w:right w:val="nil"/>
                <w:between w:val="nil"/>
              </w:pBdr>
              <w:rPr>
                <w:sz w:val="20"/>
                <w:szCs w:val="20"/>
              </w:rPr>
            </w:pPr>
            <w:r>
              <w:rPr>
                <w:sz w:val="20"/>
                <w:szCs w:val="20"/>
              </w:rPr>
              <w:t>Saxitoxin (binds to voltage gated Na channels)</w:t>
            </w:r>
          </w:p>
        </w:tc>
        <w:tc>
          <w:tcPr>
            <w:tcW w:w="3120" w:type="dxa"/>
            <w:shd w:val="clear" w:color="auto" w:fill="auto"/>
            <w:tcMar>
              <w:top w:w="100" w:type="dxa"/>
              <w:left w:w="100" w:type="dxa"/>
              <w:bottom w:w="100" w:type="dxa"/>
              <w:right w:w="100" w:type="dxa"/>
            </w:tcMar>
          </w:tcPr>
          <w:p w14:paraId="419FCC21" w14:textId="77777777" w:rsidR="005303BA" w:rsidRDefault="005303BA" w:rsidP="00952B1E">
            <w:pPr>
              <w:widowControl w:val="0"/>
              <w:pBdr>
                <w:top w:val="nil"/>
                <w:left w:val="nil"/>
                <w:bottom w:val="nil"/>
                <w:right w:val="nil"/>
                <w:between w:val="nil"/>
              </w:pBdr>
              <w:rPr>
                <w:sz w:val="20"/>
                <w:szCs w:val="20"/>
              </w:rPr>
            </w:pPr>
            <w:r>
              <w:rPr>
                <w:sz w:val="20"/>
                <w:szCs w:val="20"/>
              </w:rPr>
              <w:t>Muscle paralysis, respiratory arrest</w:t>
            </w:r>
          </w:p>
        </w:tc>
        <w:tc>
          <w:tcPr>
            <w:tcW w:w="3120" w:type="dxa"/>
            <w:shd w:val="clear" w:color="auto" w:fill="auto"/>
            <w:tcMar>
              <w:top w:w="100" w:type="dxa"/>
              <w:left w:w="100" w:type="dxa"/>
              <w:bottom w:w="100" w:type="dxa"/>
              <w:right w:w="100" w:type="dxa"/>
            </w:tcMar>
          </w:tcPr>
          <w:p w14:paraId="2A66DB64" w14:textId="77777777" w:rsidR="005303BA" w:rsidRDefault="005303BA" w:rsidP="00952B1E">
            <w:pPr>
              <w:widowControl w:val="0"/>
              <w:pBdr>
                <w:top w:val="nil"/>
                <w:left w:val="nil"/>
                <w:bottom w:val="nil"/>
                <w:right w:val="nil"/>
                <w:between w:val="nil"/>
              </w:pBdr>
              <w:rPr>
                <w:sz w:val="20"/>
                <w:szCs w:val="20"/>
              </w:rPr>
            </w:pPr>
            <w:proofErr w:type="spellStart"/>
            <w:r>
              <w:rPr>
                <w:sz w:val="20"/>
                <w:szCs w:val="20"/>
              </w:rPr>
              <w:t>Alexandrium</w:t>
            </w:r>
            <w:proofErr w:type="spellEnd"/>
            <w:r>
              <w:rPr>
                <w:sz w:val="20"/>
                <w:szCs w:val="20"/>
              </w:rPr>
              <w:t xml:space="preserve"> (</w:t>
            </w:r>
            <w:proofErr w:type="spellStart"/>
            <w:r>
              <w:rPr>
                <w:sz w:val="20"/>
                <w:szCs w:val="20"/>
              </w:rPr>
              <w:t>dinoflag</w:t>
            </w:r>
            <w:proofErr w:type="spellEnd"/>
            <w:r>
              <w:rPr>
                <w:sz w:val="20"/>
                <w:szCs w:val="20"/>
              </w:rPr>
              <w:t>): humpback whales</w:t>
            </w:r>
          </w:p>
          <w:p w14:paraId="46FB5728" w14:textId="77777777" w:rsidR="005303BA" w:rsidRDefault="005303BA" w:rsidP="00952B1E">
            <w:pPr>
              <w:widowControl w:val="0"/>
              <w:pBdr>
                <w:top w:val="nil"/>
                <w:left w:val="nil"/>
                <w:bottom w:val="nil"/>
                <w:right w:val="nil"/>
                <w:between w:val="nil"/>
              </w:pBdr>
              <w:rPr>
                <w:sz w:val="20"/>
                <w:szCs w:val="20"/>
              </w:rPr>
            </w:pPr>
            <w:r>
              <w:rPr>
                <w:sz w:val="20"/>
                <w:szCs w:val="20"/>
              </w:rPr>
              <w:t>Paralytic shellfish toxin: humans and mammals</w:t>
            </w:r>
          </w:p>
        </w:tc>
      </w:tr>
      <w:tr w:rsidR="005303BA" w14:paraId="7DEE322D" w14:textId="77777777" w:rsidTr="00952B1E">
        <w:tc>
          <w:tcPr>
            <w:tcW w:w="3120" w:type="dxa"/>
            <w:shd w:val="clear" w:color="auto" w:fill="auto"/>
            <w:tcMar>
              <w:top w:w="100" w:type="dxa"/>
              <w:left w:w="100" w:type="dxa"/>
              <w:bottom w:w="100" w:type="dxa"/>
              <w:right w:w="100" w:type="dxa"/>
            </w:tcMar>
          </w:tcPr>
          <w:p w14:paraId="6F8D6114" w14:textId="77777777" w:rsidR="005303BA" w:rsidRDefault="005303BA" w:rsidP="00952B1E">
            <w:pPr>
              <w:widowControl w:val="0"/>
              <w:pBdr>
                <w:top w:val="nil"/>
                <w:left w:val="nil"/>
                <w:bottom w:val="nil"/>
                <w:right w:val="nil"/>
                <w:between w:val="nil"/>
              </w:pBdr>
              <w:rPr>
                <w:sz w:val="20"/>
                <w:szCs w:val="20"/>
              </w:rPr>
            </w:pPr>
            <w:r>
              <w:rPr>
                <w:sz w:val="20"/>
                <w:szCs w:val="20"/>
              </w:rPr>
              <w:t>Okadaic Acid (protein phosphatase inhibitor)</w:t>
            </w:r>
          </w:p>
        </w:tc>
        <w:tc>
          <w:tcPr>
            <w:tcW w:w="3120" w:type="dxa"/>
            <w:shd w:val="clear" w:color="auto" w:fill="auto"/>
            <w:tcMar>
              <w:top w:w="100" w:type="dxa"/>
              <w:left w:w="100" w:type="dxa"/>
              <w:bottom w:w="100" w:type="dxa"/>
              <w:right w:w="100" w:type="dxa"/>
            </w:tcMar>
          </w:tcPr>
          <w:p w14:paraId="1DD23786" w14:textId="77777777" w:rsidR="005303BA" w:rsidRDefault="005303BA" w:rsidP="00952B1E">
            <w:pPr>
              <w:widowControl w:val="0"/>
              <w:pBdr>
                <w:top w:val="nil"/>
                <w:left w:val="nil"/>
                <w:bottom w:val="nil"/>
                <w:right w:val="nil"/>
                <w:between w:val="nil"/>
              </w:pBdr>
              <w:rPr>
                <w:sz w:val="20"/>
                <w:szCs w:val="20"/>
              </w:rPr>
            </w:pPr>
            <w:r>
              <w:rPr>
                <w:sz w:val="20"/>
                <w:szCs w:val="20"/>
              </w:rPr>
              <w:t>diarrhea</w:t>
            </w:r>
          </w:p>
        </w:tc>
        <w:tc>
          <w:tcPr>
            <w:tcW w:w="3120" w:type="dxa"/>
            <w:shd w:val="clear" w:color="auto" w:fill="auto"/>
            <w:tcMar>
              <w:top w:w="100" w:type="dxa"/>
              <w:left w:w="100" w:type="dxa"/>
              <w:bottom w:w="100" w:type="dxa"/>
              <w:right w:w="100" w:type="dxa"/>
            </w:tcMar>
          </w:tcPr>
          <w:p w14:paraId="24A8E1E1" w14:textId="77777777" w:rsidR="005303BA" w:rsidRDefault="005303BA" w:rsidP="00952B1E">
            <w:pPr>
              <w:widowControl w:val="0"/>
              <w:pBdr>
                <w:top w:val="nil"/>
                <w:left w:val="nil"/>
                <w:bottom w:val="nil"/>
                <w:right w:val="nil"/>
                <w:between w:val="nil"/>
              </w:pBdr>
              <w:rPr>
                <w:sz w:val="20"/>
                <w:szCs w:val="20"/>
              </w:rPr>
            </w:pPr>
            <w:r>
              <w:rPr>
                <w:sz w:val="20"/>
                <w:szCs w:val="20"/>
              </w:rPr>
              <w:t>Diarrheic shellfish poisoning (human)</w:t>
            </w:r>
          </w:p>
        </w:tc>
      </w:tr>
      <w:tr w:rsidR="005303BA" w14:paraId="5A379A47" w14:textId="77777777" w:rsidTr="00952B1E">
        <w:tc>
          <w:tcPr>
            <w:tcW w:w="3120" w:type="dxa"/>
            <w:shd w:val="clear" w:color="auto" w:fill="auto"/>
            <w:tcMar>
              <w:top w:w="100" w:type="dxa"/>
              <w:left w:w="100" w:type="dxa"/>
              <w:bottom w:w="100" w:type="dxa"/>
              <w:right w:w="100" w:type="dxa"/>
            </w:tcMar>
          </w:tcPr>
          <w:p w14:paraId="3607E674" w14:textId="77777777" w:rsidR="005303BA" w:rsidRDefault="005303BA" w:rsidP="00952B1E">
            <w:pPr>
              <w:widowControl w:val="0"/>
              <w:pBdr>
                <w:top w:val="nil"/>
                <w:left w:val="nil"/>
                <w:bottom w:val="nil"/>
                <w:right w:val="nil"/>
                <w:between w:val="nil"/>
              </w:pBdr>
              <w:rPr>
                <w:sz w:val="20"/>
                <w:szCs w:val="20"/>
              </w:rPr>
            </w:pPr>
            <w:proofErr w:type="spellStart"/>
            <w:r>
              <w:rPr>
                <w:sz w:val="20"/>
                <w:szCs w:val="20"/>
              </w:rPr>
              <w:t>Microcystins</w:t>
            </w:r>
            <w:proofErr w:type="spellEnd"/>
          </w:p>
        </w:tc>
        <w:tc>
          <w:tcPr>
            <w:tcW w:w="3120" w:type="dxa"/>
            <w:shd w:val="clear" w:color="auto" w:fill="auto"/>
            <w:tcMar>
              <w:top w:w="100" w:type="dxa"/>
              <w:left w:w="100" w:type="dxa"/>
              <w:bottom w:w="100" w:type="dxa"/>
              <w:right w:w="100" w:type="dxa"/>
            </w:tcMar>
          </w:tcPr>
          <w:p w14:paraId="6820BE97" w14:textId="77777777" w:rsidR="005303BA" w:rsidRDefault="005303BA" w:rsidP="00952B1E">
            <w:pPr>
              <w:widowControl w:val="0"/>
              <w:pBdr>
                <w:top w:val="nil"/>
                <w:left w:val="nil"/>
                <w:bottom w:val="nil"/>
                <w:right w:val="nil"/>
                <w:between w:val="nil"/>
              </w:pBdr>
              <w:rPr>
                <w:sz w:val="20"/>
                <w:szCs w:val="20"/>
              </w:rPr>
            </w:pPr>
            <w:r>
              <w:rPr>
                <w:sz w:val="20"/>
                <w:szCs w:val="20"/>
              </w:rPr>
              <w:t>Hepatotoxin; neurologic signs</w:t>
            </w:r>
          </w:p>
        </w:tc>
        <w:tc>
          <w:tcPr>
            <w:tcW w:w="3120" w:type="dxa"/>
            <w:shd w:val="clear" w:color="auto" w:fill="auto"/>
            <w:tcMar>
              <w:top w:w="100" w:type="dxa"/>
              <w:left w:w="100" w:type="dxa"/>
              <w:bottom w:w="100" w:type="dxa"/>
              <w:right w:w="100" w:type="dxa"/>
            </w:tcMar>
          </w:tcPr>
          <w:p w14:paraId="4B3C8783" w14:textId="77777777" w:rsidR="005303BA" w:rsidRDefault="005303BA" w:rsidP="00952B1E">
            <w:pPr>
              <w:widowControl w:val="0"/>
              <w:pBdr>
                <w:top w:val="nil"/>
                <w:left w:val="nil"/>
                <w:bottom w:val="nil"/>
                <w:right w:val="nil"/>
                <w:between w:val="nil"/>
              </w:pBdr>
              <w:rPr>
                <w:sz w:val="20"/>
                <w:szCs w:val="20"/>
              </w:rPr>
            </w:pPr>
            <w:r>
              <w:rPr>
                <w:sz w:val="20"/>
                <w:szCs w:val="20"/>
              </w:rPr>
              <w:t>Sea otters: neurologic</w:t>
            </w:r>
          </w:p>
          <w:p w14:paraId="6C279291" w14:textId="77777777" w:rsidR="005303BA" w:rsidRDefault="005303BA" w:rsidP="00952B1E">
            <w:pPr>
              <w:widowControl w:val="0"/>
              <w:pBdr>
                <w:top w:val="nil"/>
                <w:left w:val="nil"/>
                <w:bottom w:val="nil"/>
                <w:right w:val="nil"/>
                <w:between w:val="nil"/>
              </w:pBdr>
              <w:rPr>
                <w:sz w:val="20"/>
                <w:szCs w:val="20"/>
              </w:rPr>
            </w:pPr>
            <w:r>
              <w:rPr>
                <w:sz w:val="20"/>
                <w:szCs w:val="20"/>
              </w:rPr>
              <w:t>Humans: GI, piloerection, pallor</w:t>
            </w:r>
          </w:p>
          <w:p w14:paraId="452EA6AF" w14:textId="77777777" w:rsidR="005303BA" w:rsidRDefault="005303BA" w:rsidP="00952B1E">
            <w:pPr>
              <w:widowControl w:val="0"/>
              <w:pBdr>
                <w:top w:val="nil"/>
                <w:left w:val="nil"/>
                <w:bottom w:val="nil"/>
                <w:right w:val="nil"/>
                <w:between w:val="nil"/>
              </w:pBdr>
              <w:rPr>
                <w:sz w:val="20"/>
                <w:szCs w:val="20"/>
              </w:rPr>
            </w:pPr>
            <w:r>
              <w:rPr>
                <w:sz w:val="20"/>
                <w:szCs w:val="20"/>
              </w:rPr>
              <w:t>Mass mortality of fish</w:t>
            </w:r>
          </w:p>
          <w:p w14:paraId="29BD5188" w14:textId="77777777" w:rsidR="005303BA" w:rsidRDefault="005303BA" w:rsidP="00952B1E">
            <w:pPr>
              <w:widowControl w:val="0"/>
              <w:pBdr>
                <w:top w:val="nil"/>
                <w:left w:val="nil"/>
                <w:bottom w:val="nil"/>
                <w:right w:val="nil"/>
                <w:between w:val="nil"/>
              </w:pBdr>
              <w:rPr>
                <w:sz w:val="20"/>
                <w:szCs w:val="20"/>
              </w:rPr>
            </w:pPr>
            <w:r>
              <w:rPr>
                <w:sz w:val="20"/>
                <w:szCs w:val="20"/>
              </w:rPr>
              <w:t>Lesser flamingos: Neuro, cyanosis, respiratory failure, death</w:t>
            </w:r>
          </w:p>
          <w:p w14:paraId="5EED8C98" w14:textId="77777777" w:rsidR="005303BA" w:rsidRDefault="005303BA" w:rsidP="00952B1E">
            <w:pPr>
              <w:widowControl w:val="0"/>
              <w:pBdr>
                <w:top w:val="nil"/>
                <w:left w:val="nil"/>
                <w:bottom w:val="nil"/>
                <w:right w:val="nil"/>
                <w:between w:val="nil"/>
              </w:pBdr>
              <w:rPr>
                <w:sz w:val="20"/>
                <w:szCs w:val="20"/>
              </w:rPr>
            </w:pPr>
            <w:r>
              <w:rPr>
                <w:sz w:val="20"/>
                <w:szCs w:val="20"/>
              </w:rPr>
              <w:t xml:space="preserve">Cattle, sheep, goats, wildlife: 2 episodes at Kruger National Park: rhino, lion, cheetah, zebra, wildebeest, hippo, giraffe, </w:t>
            </w:r>
            <w:proofErr w:type="gramStart"/>
            <w:r>
              <w:rPr>
                <w:sz w:val="20"/>
                <w:szCs w:val="20"/>
              </w:rPr>
              <w:t>warthog</w:t>
            </w:r>
            <w:proofErr w:type="gramEnd"/>
            <w:r>
              <w:rPr>
                <w:sz w:val="20"/>
                <w:szCs w:val="20"/>
              </w:rPr>
              <w:t xml:space="preserve"> and kudu died</w:t>
            </w:r>
          </w:p>
        </w:tc>
      </w:tr>
    </w:tbl>
    <w:p w14:paraId="222687B0" w14:textId="77777777" w:rsidR="005303BA" w:rsidRDefault="005303BA" w:rsidP="005303BA"/>
    <w:p w14:paraId="3B302203" w14:textId="77777777" w:rsidR="005303BA" w:rsidRDefault="005303BA" w:rsidP="005303BA"/>
    <w:p w14:paraId="409593F9" w14:textId="77777777" w:rsidR="005303BA" w:rsidRDefault="005303BA" w:rsidP="005303BA"/>
    <w:p w14:paraId="455A8ADA" w14:textId="77777777" w:rsidR="005303BA" w:rsidRDefault="005303BA" w:rsidP="005303BA"/>
    <w:p w14:paraId="3D8DAD67" w14:textId="77777777" w:rsidR="005303BA" w:rsidRDefault="005303BA" w:rsidP="005303BA">
      <w:pPr>
        <w:numPr>
          <w:ilvl w:val="0"/>
          <w:numId w:val="5"/>
        </w:numPr>
        <w:spacing w:line="276" w:lineRule="auto"/>
      </w:pPr>
      <w:r>
        <w:t xml:space="preserve">Which of the following is true </w:t>
      </w:r>
      <w:proofErr w:type="gramStart"/>
      <w:r>
        <w:t>in regards to</w:t>
      </w:r>
      <w:proofErr w:type="gramEnd"/>
      <w:r>
        <w:t xml:space="preserve"> maturation and reproducibility of Northern sea otters?</w:t>
      </w:r>
    </w:p>
    <w:p w14:paraId="7F422AF2" w14:textId="77777777" w:rsidR="005303BA" w:rsidRDefault="005303BA" w:rsidP="005303BA">
      <w:pPr>
        <w:numPr>
          <w:ilvl w:val="1"/>
          <w:numId w:val="5"/>
        </w:numPr>
        <w:spacing w:line="276" w:lineRule="auto"/>
      </w:pPr>
      <w:r>
        <w:t>Weight is a predictor of sexual maturity</w:t>
      </w:r>
    </w:p>
    <w:p w14:paraId="287680A6" w14:textId="77777777" w:rsidR="005303BA" w:rsidRDefault="005303BA" w:rsidP="005303BA">
      <w:pPr>
        <w:numPr>
          <w:ilvl w:val="1"/>
          <w:numId w:val="5"/>
        </w:numPr>
        <w:spacing w:line="276" w:lineRule="auto"/>
      </w:pPr>
      <w:r>
        <w:t>Maturing animals had open tubules with no spermatozoa present</w:t>
      </w:r>
    </w:p>
    <w:p w14:paraId="65322829" w14:textId="77777777" w:rsidR="005303BA" w:rsidRDefault="005303BA" w:rsidP="005303BA">
      <w:pPr>
        <w:numPr>
          <w:ilvl w:val="1"/>
          <w:numId w:val="5"/>
        </w:numPr>
        <w:spacing w:line="276" w:lineRule="auto"/>
      </w:pPr>
      <w:r>
        <w:t>Early castration showed shortened life span and issues with bone growth</w:t>
      </w:r>
    </w:p>
    <w:p w14:paraId="503B8E27" w14:textId="77777777" w:rsidR="005303BA" w:rsidRDefault="005303BA" w:rsidP="005303BA">
      <w:pPr>
        <w:numPr>
          <w:ilvl w:val="1"/>
          <w:numId w:val="5"/>
        </w:numPr>
        <w:spacing w:line="276" w:lineRule="auto"/>
      </w:pPr>
      <w:proofErr w:type="spellStart"/>
      <w:r>
        <w:t>Deslorelin</w:t>
      </w:r>
      <w:proofErr w:type="spellEnd"/>
      <w:r>
        <w:t xml:space="preserve"> use in otters has shown increased aggression</w:t>
      </w:r>
    </w:p>
    <w:p w14:paraId="17C93F2B" w14:textId="77777777" w:rsidR="005303BA" w:rsidRDefault="005303BA" w:rsidP="005303BA">
      <w:pPr>
        <w:numPr>
          <w:ilvl w:val="1"/>
          <w:numId w:val="5"/>
        </w:numPr>
        <w:spacing w:line="276" w:lineRule="auto"/>
      </w:pPr>
      <w:r>
        <w:lastRenderedPageBreak/>
        <w:t>Rehabilitated sea otters showed earlier testicular development</w:t>
      </w:r>
    </w:p>
    <w:p w14:paraId="1E8915A9" w14:textId="77777777" w:rsidR="005303BA" w:rsidRDefault="005303BA" w:rsidP="005303BA"/>
    <w:p w14:paraId="0C10C159" w14:textId="77777777" w:rsidR="005303BA" w:rsidRDefault="005303BA" w:rsidP="005303BA">
      <w:r>
        <w:t xml:space="preserve">Answer: E.  Age is a predictor of maturity, maturing animals have closed tubules, there is more research needed on early castration in sea otters (if it affects them as dogs), </w:t>
      </w:r>
      <w:proofErr w:type="spellStart"/>
      <w:r>
        <w:t>deslorelin</w:t>
      </w:r>
      <w:proofErr w:type="spellEnd"/>
      <w:r>
        <w:t xml:space="preserve"> has been used in otters and showed decreased testicular size, lowered testosterone levels, and decreased aggression.</w:t>
      </w:r>
    </w:p>
    <w:p w14:paraId="6A971623" w14:textId="6C95A773" w:rsidR="00617AF0" w:rsidRDefault="00617AF0" w:rsidP="00EC6A45"/>
    <w:p w14:paraId="4445C8A2" w14:textId="442ED162" w:rsidR="005303BA" w:rsidRDefault="005303BA" w:rsidP="00EC6A45"/>
    <w:p w14:paraId="11B1C82B" w14:textId="77777777" w:rsidR="005303BA" w:rsidRPr="00DE1705" w:rsidRDefault="005303BA" w:rsidP="005303BA">
      <w:pPr>
        <w:autoSpaceDE w:val="0"/>
        <w:autoSpaceDN w:val="0"/>
        <w:adjustRightInd w:val="0"/>
        <w:rPr>
          <w:rFonts w:ascii="Times New Roman" w:hAnsi="Times New Roman" w:cs="Times New Roman"/>
          <w:i/>
          <w:iCs/>
          <w:sz w:val="20"/>
          <w:szCs w:val="20"/>
        </w:rPr>
      </w:pPr>
      <w:r w:rsidRPr="00DE1705">
        <w:rPr>
          <w:rFonts w:ascii="Times New Roman" w:hAnsi="Times New Roman" w:cs="Times New Roman"/>
          <w:i/>
          <w:iCs/>
          <w:sz w:val="20"/>
          <w:szCs w:val="20"/>
        </w:rPr>
        <w:t xml:space="preserve">Journal of Wildlife Diseases, 58(1), 2022, pp. 63–75 </w:t>
      </w:r>
    </w:p>
    <w:p w14:paraId="6C58C693" w14:textId="77777777" w:rsidR="005303BA" w:rsidRPr="00C43760" w:rsidRDefault="005303BA" w:rsidP="005303BA">
      <w:pPr>
        <w:autoSpaceDE w:val="0"/>
        <w:autoSpaceDN w:val="0"/>
        <w:adjustRightInd w:val="0"/>
        <w:rPr>
          <w:rFonts w:ascii="Times New Roman" w:hAnsi="Times New Roman" w:cs="Times New Roman"/>
          <w:sz w:val="28"/>
          <w:szCs w:val="28"/>
        </w:rPr>
      </w:pPr>
    </w:p>
    <w:p w14:paraId="24C6F502" w14:textId="77777777" w:rsidR="005303BA" w:rsidRPr="00DE1705" w:rsidRDefault="005303BA" w:rsidP="005303BA">
      <w:pPr>
        <w:spacing w:after="200"/>
        <w:contextualSpacing/>
        <w:jc w:val="center"/>
        <w:rPr>
          <w:rFonts w:ascii="Times New Roman" w:hAnsi="Times New Roman" w:cs="Times New Roman"/>
          <w:bCs/>
          <w:sz w:val="28"/>
          <w:szCs w:val="28"/>
        </w:rPr>
      </w:pPr>
      <w:r w:rsidRPr="00DE1705">
        <w:rPr>
          <w:rFonts w:ascii="Times New Roman" w:hAnsi="Times New Roman" w:cs="Times New Roman"/>
          <w:bCs/>
          <w:sz w:val="28"/>
          <w:szCs w:val="28"/>
        </w:rPr>
        <w:t>INVESTIGATING ASSOCIATIONS AMONG RELATEDNESS, GENETIC DIVERSITY, AND CAUSES OF MORTALITY IN SOUTHERN SEA OTTERS (</w:t>
      </w:r>
      <w:r w:rsidRPr="00DE1705">
        <w:rPr>
          <w:rFonts w:ascii="Times New Roman" w:hAnsi="Times New Roman" w:cs="Times New Roman"/>
          <w:bCs/>
          <w:i/>
          <w:iCs/>
          <w:sz w:val="28"/>
          <w:szCs w:val="28"/>
        </w:rPr>
        <w:t>ENHYDRA LUTRIS NEREIS</w:t>
      </w:r>
      <w:r w:rsidRPr="00DE1705">
        <w:rPr>
          <w:rFonts w:ascii="Times New Roman" w:hAnsi="Times New Roman" w:cs="Times New Roman"/>
          <w:bCs/>
          <w:sz w:val="28"/>
          <w:szCs w:val="28"/>
        </w:rPr>
        <w:t xml:space="preserve">) </w:t>
      </w:r>
    </w:p>
    <w:p w14:paraId="7FB20E16" w14:textId="77777777" w:rsidR="005303BA" w:rsidRPr="00DE1705" w:rsidRDefault="005303BA" w:rsidP="005303BA">
      <w:pPr>
        <w:spacing w:after="200"/>
        <w:contextualSpacing/>
        <w:rPr>
          <w:rFonts w:ascii="Times New Roman" w:hAnsi="Times New Roman" w:cs="Times New Roman"/>
          <w:sz w:val="20"/>
          <w:szCs w:val="20"/>
        </w:rPr>
      </w:pPr>
      <w:r w:rsidRPr="00DE1705">
        <w:rPr>
          <w:rFonts w:ascii="Times New Roman" w:hAnsi="Times New Roman" w:cs="Times New Roman"/>
          <w:sz w:val="20"/>
          <w:szCs w:val="20"/>
        </w:rPr>
        <w:t>Nicole H. Carter,</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Melissa A. Miller, Megan E. Moriarty,</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M. Tim Tinker, Roderick B. Gagne,</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 xml:space="preserve">Christine K. Johnson, Michael J. Murray, Michelle M. </w:t>
      </w:r>
      <w:proofErr w:type="spellStart"/>
      <w:r w:rsidRPr="00DE1705">
        <w:rPr>
          <w:rFonts w:ascii="Times New Roman" w:hAnsi="Times New Roman" w:cs="Times New Roman"/>
          <w:sz w:val="20"/>
          <w:szCs w:val="20"/>
        </w:rPr>
        <w:t>Staedler</w:t>
      </w:r>
      <w:proofErr w:type="spellEnd"/>
      <w:r w:rsidRPr="00DE1705">
        <w:rPr>
          <w:rFonts w:ascii="Times New Roman" w:hAnsi="Times New Roman" w:cs="Times New Roman"/>
          <w:sz w:val="20"/>
          <w:szCs w:val="20"/>
        </w:rPr>
        <w:t>,</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 xml:space="preserve">Berit </w:t>
      </w:r>
      <w:proofErr w:type="spellStart"/>
      <w:r w:rsidRPr="00DE1705">
        <w:rPr>
          <w:rFonts w:ascii="Times New Roman" w:hAnsi="Times New Roman" w:cs="Times New Roman"/>
          <w:sz w:val="20"/>
          <w:szCs w:val="20"/>
        </w:rPr>
        <w:t>Bangoura</w:t>
      </w:r>
      <w:proofErr w:type="spellEnd"/>
      <w:r w:rsidRPr="00DE1705">
        <w:rPr>
          <w:rFonts w:ascii="Times New Roman" w:hAnsi="Times New Roman" w:cs="Times New Roman"/>
          <w:sz w:val="20"/>
          <w:szCs w:val="20"/>
        </w:rPr>
        <w:t>, Shawn Larson, and Holly B. Ernest</w:t>
      </w:r>
    </w:p>
    <w:p w14:paraId="6CD36351" w14:textId="77777777" w:rsidR="005303BA" w:rsidRDefault="005303BA" w:rsidP="005303BA">
      <w:pPr>
        <w:spacing w:after="200"/>
        <w:contextualSpacing/>
        <w:jc w:val="center"/>
        <w:rPr>
          <w:rFonts w:ascii="Times New Roman" w:hAnsi="Times New Roman" w:cs="Times New Roman"/>
          <w:sz w:val="18"/>
          <w:szCs w:val="18"/>
        </w:rPr>
      </w:pPr>
    </w:p>
    <w:p w14:paraId="0496080D" w14:textId="77777777" w:rsidR="005303BA" w:rsidRPr="00410EB8" w:rsidRDefault="005303BA" w:rsidP="005303BA">
      <w:pPr>
        <w:spacing w:after="200"/>
        <w:contextualSpacing/>
        <w:jc w:val="center"/>
        <w:rPr>
          <w:rFonts w:ascii="Times New Roman" w:hAnsi="Times New Roman" w:cs="Times New Roman"/>
          <w:sz w:val="18"/>
          <w:szCs w:val="18"/>
        </w:rPr>
      </w:pPr>
    </w:p>
    <w:p w14:paraId="0ABF8450" w14:textId="77777777" w:rsidR="005303BA" w:rsidRDefault="005303BA" w:rsidP="005303BA">
      <w:pPr>
        <w:rPr>
          <w:rFonts w:ascii="Times New Roman" w:hAnsi="Times New Roman" w:cs="Times New Roman"/>
        </w:rPr>
      </w:pPr>
      <w:r w:rsidRPr="00CD0C6C">
        <w:rPr>
          <w:rFonts w:ascii="Times New Roman" w:hAnsi="Times New Roman" w:cs="Times New Roman"/>
          <w:b/>
          <w:bCs/>
        </w:rPr>
        <w:t>Question:</w:t>
      </w:r>
      <w:r>
        <w:rPr>
          <w:rFonts w:ascii="Times New Roman" w:hAnsi="Times New Roman" w:cs="Times New Roman"/>
          <w:b/>
          <w:bCs/>
        </w:rPr>
        <w:t xml:space="preserve"> </w:t>
      </w:r>
      <w:r w:rsidRPr="00CD0C6C">
        <w:rPr>
          <w:rFonts w:ascii="Times New Roman" w:hAnsi="Times New Roman" w:cs="Times New Roman"/>
        </w:rPr>
        <w:t xml:space="preserve">Based on a recent study </w:t>
      </w:r>
      <w:r>
        <w:rPr>
          <w:rFonts w:ascii="Times New Roman" w:hAnsi="Times New Roman" w:cs="Times New Roman"/>
        </w:rPr>
        <w:t>investigating familial relatedness and common causes of mortality in southern sea otters (</w:t>
      </w:r>
      <w:r w:rsidRPr="00CD0C6C">
        <w:rPr>
          <w:rFonts w:ascii="Times New Roman" w:hAnsi="Times New Roman" w:cs="Times New Roman"/>
          <w:i/>
          <w:iCs/>
        </w:rPr>
        <w:t>Enhydra lutris nereis</w:t>
      </w:r>
      <w:r>
        <w:rPr>
          <w:rFonts w:ascii="Times New Roman" w:hAnsi="Times New Roman" w:cs="Times New Roman"/>
        </w:rPr>
        <w:t>) of the Central California coast, which of the following causes of mortality was significantly associated with a higher familial relatedness in male individuals?</w:t>
      </w:r>
    </w:p>
    <w:p w14:paraId="70439D44" w14:textId="77777777" w:rsidR="005303BA" w:rsidRDefault="005303BA" w:rsidP="005303BA">
      <w:pPr>
        <w:pStyle w:val="ListParagraph"/>
        <w:numPr>
          <w:ilvl w:val="0"/>
          <w:numId w:val="6"/>
        </w:numPr>
        <w:spacing w:after="160" w:line="278" w:lineRule="auto"/>
        <w:rPr>
          <w:rFonts w:ascii="Times New Roman" w:hAnsi="Times New Roman" w:cs="Times New Roman"/>
        </w:rPr>
      </w:pPr>
      <w:r>
        <w:rPr>
          <w:rFonts w:ascii="Times New Roman" w:hAnsi="Times New Roman" w:cs="Times New Roman"/>
        </w:rPr>
        <w:t>Domoic acid intoxication</w:t>
      </w:r>
    </w:p>
    <w:p w14:paraId="6CF54059" w14:textId="77777777" w:rsidR="005303BA" w:rsidRDefault="005303BA" w:rsidP="005303BA">
      <w:pPr>
        <w:pStyle w:val="ListParagraph"/>
        <w:numPr>
          <w:ilvl w:val="0"/>
          <w:numId w:val="6"/>
        </w:numPr>
        <w:spacing w:after="160" w:line="278" w:lineRule="auto"/>
        <w:rPr>
          <w:rFonts w:ascii="Times New Roman" w:hAnsi="Times New Roman" w:cs="Times New Roman"/>
        </w:rPr>
      </w:pPr>
      <w:r>
        <w:rPr>
          <w:rFonts w:ascii="Times New Roman" w:hAnsi="Times New Roman" w:cs="Times New Roman"/>
        </w:rPr>
        <w:t xml:space="preserve">Fatal </w:t>
      </w:r>
      <w:proofErr w:type="spellStart"/>
      <w:r>
        <w:rPr>
          <w:rFonts w:ascii="Times New Roman" w:hAnsi="Times New Roman" w:cs="Times New Roman"/>
        </w:rPr>
        <w:t>sarcocystosis</w:t>
      </w:r>
      <w:proofErr w:type="spellEnd"/>
    </w:p>
    <w:p w14:paraId="17B27FE9" w14:textId="77777777" w:rsidR="005303BA" w:rsidRDefault="005303BA" w:rsidP="005303BA">
      <w:pPr>
        <w:pStyle w:val="ListParagraph"/>
        <w:numPr>
          <w:ilvl w:val="0"/>
          <w:numId w:val="6"/>
        </w:numPr>
        <w:spacing w:after="160" w:line="278" w:lineRule="auto"/>
        <w:rPr>
          <w:rFonts w:ascii="Times New Roman" w:hAnsi="Times New Roman" w:cs="Times New Roman"/>
        </w:rPr>
      </w:pPr>
      <w:r>
        <w:rPr>
          <w:rFonts w:ascii="Times New Roman" w:hAnsi="Times New Roman" w:cs="Times New Roman"/>
        </w:rPr>
        <w:t>Fatal toxoplasmosis</w:t>
      </w:r>
    </w:p>
    <w:p w14:paraId="35E1BE93" w14:textId="77777777" w:rsidR="005303BA" w:rsidRDefault="005303BA" w:rsidP="005303BA">
      <w:pPr>
        <w:pStyle w:val="ListParagraph"/>
        <w:numPr>
          <w:ilvl w:val="0"/>
          <w:numId w:val="6"/>
        </w:numPr>
        <w:spacing w:after="160" w:line="278" w:lineRule="auto"/>
        <w:rPr>
          <w:rFonts w:ascii="Times New Roman" w:hAnsi="Times New Roman" w:cs="Times New Roman"/>
        </w:rPr>
      </w:pPr>
      <w:r>
        <w:rPr>
          <w:rFonts w:ascii="Times New Roman" w:hAnsi="Times New Roman" w:cs="Times New Roman"/>
        </w:rPr>
        <w:t>Fatal cardiomyopathy</w:t>
      </w:r>
    </w:p>
    <w:p w14:paraId="3058D855" w14:textId="77777777" w:rsidR="005303BA" w:rsidRPr="00CD0C6C" w:rsidRDefault="005303BA" w:rsidP="005303BA">
      <w:pPr>
        <w:pStyle w:val="ListParagraph"/>
        <w:numPr>
          <w:ilvl w:val="0"/>
          <w:numId w:val="6"/>
        </w:numPr>
        <w:spacing w:after="160" w:line="278" w:lineRule="auto"/>
        <w:rPr>
          <w:rFonts w:ascii="Times New Roman" w:hAnsi="Times New Roman" w:cs="Times New Roman"/>
        </w:rPr>
      </w:pPr>
      <w:r>
        <w:rPr>
          <w:rFonts w:ascii="Times New Roman" w:hAnsi="Times New Roman" w:cs="Times New Roman"/>
        </w:rPr>
        <w:t>Acanthocephalan peritonitis</w:t>
      </w:r>
    </w:p>
    <w:p w14:paraId="5B7000EE" w14:textId="77777777" w:rsidR="005303BA" w:rsidRDefault="005303BA" w:rsidP="005303BA">
      <w:pPr>
        <w:rPr>
          <w:rFonts w:ascii="Times New Roman" w:hAnsi="Times New Roman" w:cs="Times New Roman"/>
        </w:rPr>
      </w:pPr>
    </w:p>
    <w:p w14:paraId="72E0924F" w14:textId="77777777" w:rsidR="005303BA" w:rsidRDefault="005303BA" w:rsidP="005303BA">
      <w:pPr>
        <w:rPr>
          <w:rFonts w:ascii="Times New Roman" w:hAnsi="Times New Roman" w:cs="Times New Roman"/>
        </w:rPr>
      </w:pPr>
      <w:r w:rsidRPr="00CD0C6C">
        <w:rPr>
          <w:rFonts w:ascii="Times New Roman" w:hAnsi="Times New Roman" w:cs="Times New Roman"/>
        </w:rPr>
        <w:t>Correct answer: D. Fatal cardiomyopathy</w:t>
      </w:r>
    </w:p>
    <w:p w14:paraId="2C59D776" w14:textId="77777777" w:rsidR="005303BA" w:rsidRPr="00CD0C6C" w:rsidRDefault="005303BA" w:rsidP="005303BA">
      <w:pPr>
        <w:contextualSpacing/>
        <w:rPr>
          <w:rFonts w:ascii="Times New Roman" w:hAnsi="Times New Roman" w:cs="Times New Roman"/>
        </w:rPr>
      </w:pPr>
      <w:r w:rsidRPr="00CD0C6C">
        <w:rPr>
          <w:rFonts w:ascii="Times New Roman" w:hAnsi="Times New Roman" w:cs="Times New Roman"/>
          <w:b/>
          <w:bCs/>
        </w:rPr>
        <w:t xml:space="preserve">Take Home Points: </w:t>
      </w:r>
      <w:r w:rsidRPr="00CD0C6C">
        <w:rPr>
          <w:rFonts w:ascii="Times New Roman" w:hAnsi="Times New Roman" w:cs="Times New Roman"/>
        </w:rPr>
        <w:t xml:space="preserve">Male southern sea otters may be genetically pre-disposed to fatal cardiomyopathy, where females may carry a genetic factor that is protective (X-linked, as is reported in humans and NHP). Females may also carry a protective genetic factor for Acanthocephalans. The finding was not significant, but males were at a </w:t>
      </w:r>
      <w:proofErr w:type="gramStart"/>
      <w:r w:rsidRPr="00CD0C6C">
        <w:rPr>
          <w:rFonts w:ascii="Times New Roman" w:hAnsi="Times New Roman" w:cs="Times New Roman"/>
        </w:rPr>
        <w:t>higher odds</w:t>
      </w:r>
      <w:proofErr w:type="gramEnd"/>
      <w:r w:rsidRPr="00CD0C6C">
        <w:rPr>
          <w:rFonts w:ascii="Times New Roman" w:hAnsi="Times New Roman" w:cs="Times New Roman"/>
        </w:rPr>
        <w:t xml:space="preserve"> than females of dying from </w:t>
      </w:r>
      <w:proofErr w:type="spellStart"/>
      <w:r w:rsidRPr="00CD0C6C">
        <w:rPr>
          <w:rFonts w:ascii="Times New Roman" w:hAnsi="Times New Roman" w:cs="Times New Roman"/>
        </w:rPr>
        <w:t>sarcocystosis</w:t>
      </w:r>
      <w:proofErr w:type="spellEnd"/>
      <w:r w:rsidRPr="00CD0C6C">
        <w:rPr>
          <w:rFonts w:ascii="Times New Roman" w:hAnsi="Times New Roman" w:cs="Times New Roman"/>
        </w:rPr>
        <w:t>.</w:t>
      </w:r>
    </w:p>
    <w:p w14:paraId="0DAB9FF7" w14:textId="77777777" w:rsidR="005303BA" w:rsidRPr="00662687" w:rsidRDefault="005303BA" w:rsidP="005303BA">
      <w:pPr>
        <w:rPr>
          <w:rFonts w:ascii="Times New Roman" w:hAnsi="Times New Roman" w:cs="Times New Roman"/>
        </w:rPr>
      </w:pPr>
    </w:p>
    <w:p w14:paraId="532370F8" w14:textId="77777777" w:rsidR="005303BA" w:rsidRDefault="005303BA" w:rsidP="00EC6A45"/>
    <w:sectPr w:rsidR="005303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13455"/>
    <w:multiLevelType w:val="hybridMultilevel"/>
    <w:tmpl w:val="F9B64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A3963"/>
    <w:multiLevelType w:val="hybridMultilevel"/>
    <w:tmpl w:val="4DCE53DC"/>
    <w:lvl w:ilvl="0" w:tplc="303E0FFA">
      <w:start w:val="1"/>
      <w:numFmt w:val="upp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96646"/>
    <w:multiLevelType w:val="hybridMultilevel"/>
    <w:tmpl w:val="ACE0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970D6"/>
    <w:multiLevelType w:val="multilevel"/>
    <w:tmpl w:val="48AE9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C36087"/>
    <w:multiLevelType w:val="hybridMultilevel"/>
    <w:tmpl w:val="B628A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007D15"/>
    <w:multiLevelType w:val="multilevel"/>
    <w:tmpl w:val="B2D29E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1653291">
    <w:abstractNumId w:val="0"/>
  </w:num>
  <w:num w:numId="2" w16cid:durableId="1234004338">
    <w:abstractNumId w:val="5"/>
  </w:num>
  <w:num w:numId="3" w16cid:durableId="84695617">
    <w:abstractNumId w:val="2"/>
  </w:num>
  <w:num w:numId="4" w16cid:durableId="1106343500">
    <w:abstractNumId w:val="1"/>
  </w:num>
  <w:num w:numId="5" w16cid:durableId="40256788">
    <w:abstractNumId w:val="3"/>
  </w:num>
  <w:num w:numId="6" w16cid:durableId="2015760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560"/>
    <w:rsid w:val="000A27E4"/>
    <w:rsid w:val="00300D42"/>
    <w:rsid w:val="004B7F1A"/>
    <w:rsid w:val="005303BA"/>
    <w:rsid w:val="00564E55"/>
    <w:rsid w:val="00617AF0"/>
    <w:rsid w:val="00695472"/>
    <w:rsid w:val="008479F3"/>
    <w:rsid w:val="00D76261"/>
    <w:rsid w:val="00DF58D3"/>
    <w:rsid w:val="00EC6A45"/>
    <w:rsid w:val="00FB3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980F88"/>
  <w15:chartTrackingRefBased/>
  <w15:docId w15:val="{9BFADF0F-1F87-7941-B21A-5809557F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A45"/>
  </w:style>
  <w:style w:type="paragraph" w:styleId="Heading1">
    <w:name w:val="heading 1"/>
    <w:basedOn w:val="Normal"/>
    <w:next w:val="Normal"/>
    <w:link w:val="Heading1Char"/>
    <w:uiPriority w:val="9"/>
    <w:qFormat/>
    <w:rsid w:val="00FB35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5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5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5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5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5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5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5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5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5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5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5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5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5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5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5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5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560"/>
    <w:rPr>
      <w:rFonts w:eastAsiaTheme="majorEastAsia" w:cstheme="majorBidi"/>
      <w:color w:val="272727" w:themeColor="text1" w:themeTint="D8"/>
    </w:rPr>
  </w:style>
  <w:style w:type="paragraph" w:styleId="Title">
    <w:name w:val="Title"/>
    <w:basedOn w:val="Normal"/>
    <w:next w:val="Normal"/>
    <w:link w:val="TitleChar"/>
    <w:uiPriority w:val="10"/>
    <w:qFormat/>
    <w:rsid w:val="00FB356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5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5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5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5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3560"/>
    <w:rPr>
      <w:i/>
      <w:iCs/>
      <w:color w:val="404040" w:themeColor="text1" w:themeTint="BF"/>
    </w:rPr>
  </w:style>
  <w:style w:type="paragraph" w:styleId="ListParagraph">
    <w:name w:val="List Paragraph"/>
    <w:basedOn w:val="Normal"/>
    <w:uiPriority w:val="34"/>
    <w:qFormat/>
    <w:rsid w:val="00FB3560"/>
    <w:pPr>
      <w:ind w:left="720"/>
      <w:contextualSpacing/>
    </w:pPr>
  </w:style>
  <w:style w:type="character" w:styleId="IntenseEmphasis">
    <w:name w:val="Intense Emphasis"/>
    <w:basedOn w:val="DefaultParagraphFont"/>
    <w:uiPriority w:val="21"/>
    <w:qFormat/>
    <w:rsid w:val="00FB3560"/>
    <w:rPr>
      <w:i/>
      <w:iCs/>
      <w:color w:val="0F4761" w:themeColor="accent1" w:themeShade="BF"/>
    </w:rPr>
  </w:style>
  <w:style w:type="paragraph" w:styleId="IntenseQuote">
    <w:name w:val="Intense Quote"/>
    <w:basedOn w:val="Normal"/>
    <w:next w:val="Normal"/>
    <w:link w:val="IntenseQuoteChar"/>
    <w:uiPriority w:val="30"/>
    <w:qFormat/>
    <w:rsid w:val="00FB3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560"/>
    <w:rPr>
      <w:i/>
      <w:iCs/>
      <w:color w:val="0F4761" w:themeColor="accent1" w:themeShade="BF"/>
    </w:rPr>
  </w:style>
  <w:style w:type="character" w:styleId="IntenseReference">
    <w:name w:val="Intense Reference"/>
    <w:basedOn w:val="DefaultParagraphFont"/>
    <w:uiPriority w:val="32"/>
    <w:qFormat/>
    <w:rsid w:val="00FB3560"/>
    <w:rPr>
      <w:b/>
      <w:bCs/>
      <w:smallCaps/>
      <w:color w:val="0F4761" w:themeColor="accent1" w:themeShade="BF"/>
      <w:spacing w:val="5"/>
    </w:rPr>
  </w:style>
  <w:style w:type="paragraph" w:styleId="NormalWeb">
    <w:name w:val="Normal (Web)"/>
    <w:basedOn w:val="Normal"/>
    <w:uiPriority w:val="99"/>
    <w:unhideWhenUsed/>
    <w:rsid w:val="00617AF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2024-11-05T15:57:00Z</dcterms:created>
  <dcterms:modified xsi:type="dcterms:W3CDTF">2024-11-05T15:57:00Z</dcterms:modified>
</cp:coreProperties>
</file>