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E688" w14:textId="77777777" w:rsidR="00856F3D" w:rsidRPr="009A6A2F" w:rsidRDefault="00856F3D" w:rsidP="00856F3D">
      <w:pPr>
        <w:rPr>
          <w:rFonts w:ascii="Calibri" w:hAnsi="Calibri" w:cs="Calibri"/>
        </w:rPr>
      </w:pPr>
      <w:r w:rsidRPr="009A6A2F">
        <w:rPr>
          <w:rFonts w:ascii="Calibri" w:hAnsi="Calibri" w:cs="Calibri"/>
          <w:b/>
          <w:bCs/>
        </w:rPr>
        <w:t>Investigation of potassium chloride for euthanasia of anesthetized marine toads (</w:t>
      </w:r>
      <w:proofErr w:type="spellStart"/>
      <w:r w:rsidRPr="009A6A2F">
        <w:rPr>
          <w:rFonts w:ascii="Calibri" w:hAnsi="Calibri" w:cs="Calibri"/>
          <w:b/>
          <w:bCs/>
          <w:i/>
          <w:iCs/>
        </w:rPr>
        <w:t>Rhinella</w:t>
      </w:r>
      <w:proofErr w:type="spellEnd"/>
      <w:r w:rsidRPr="009A6A2F">
        <w:rPr>
          <w:rFonts w:ascii="Calibri" w:hAnsi="Calibri" w:cs="Calibri"/>
          <w:b/>
          <w:bCs/>
        </w:rPr>
        <w:t xml:space="preserve"> </w:t>
      </w:r>
      <w:r w:rsidRPr="009A6A2F">
        <w:rPr>
          <w:rFonts w:ascii="Calibri" w:hAnsi="Calibri" w:cs="Calibri"/>
          <w:b/>
          <w:bCs/>
          <w:i/>
          <w:iCs/>
        </w:rPr>
        <w:t>marina</w:t>
      </w:r>
      <w:r w:rsidRPr="009A6A2F">
        <w:rPr>
          <w:rFonts w:ascii="Calibri" w:hAnsi="Calibri" w:cs="Calibri"/>
          <w:b/>
          <w:bCs/>
        </w:rPr>
        <w:t>).</w:t>
      </w:r>
      <w:r w:rsidRPr="009A6A2F">
        <w:rPr>
          <w:rFonts w:ascii="Calibri" w:hAnsi="Calibri" w:cs="Calibri"/>
        </w:rPr>
        <w:t xml:space="preserve"> </w:t>
      </w:r>
      <w:r w:rsidRPr="009A6A2F">
        <w:rPr>
          <w:rFonts w:ascii="Calibri" w:hAnsi="Calibri" w:cs="Calibri"/>
          <w:i/>
          <w:iCs/>
        </w:rPr>
        <w:t>Journal of Herpetological Medicine and Surgery.</w:t>
      </w:r>
      <w:r w:rsidRPr="009A6A2F">
        <w:rPr>
          <w:rFonts w:ascii="Calibri" w:hAnsi="Calibri" w:cs="Calibri"/>
        </w:rPr>
        <w:t xml:space="preserve"> 32.1 (2022): 42-47.</w:t>
      </w:r>
    </w:p>
    <w:p w14:paraId="6F9B03B2" w14:textId="77777777" w:rsidR="00DF58D3" w:rsidRDefault="00DF58D3"/>
    <w:p w14:paraId="2D8F2CCC" w14:textId="77777777" w:rsidR="00856F3D" w:rsidRDefault="00856F3D"/>
    <w:p w14:paraId="38CA266F" w14:textId="4C33A1A5" w:rsidR="00856F3D" w:rsidRDefault="00856F3D">
      <w:r w:rsidRPr="00856F3D">
        <w:rPr>
          <w:b/>
          <w:bCs/>
        </w:rPr>
        <w:t>Question:</w:t>
      </w:r>
      <w:r>
        <w:t xml:space="preserve"> How would you advise your resident (who has poor technical skill and no access to </w:t>
      </w:r>
      <w:proofErr w:type="spellStart"/>
      <w:r>
        <w:t>Euthasol</w:t>
      </w:r>
      <w:proofErr w:type="spellEnd"/>
      <w:r>
        <w:t>) to euthanize a Marine Toad solo on a weekend?</w:t>
      </w:r>
    </w:p>
    <w:p w14:paraId="065F88CE" w14:textId="77777777" w:rsidR="00856F3D" w:rsidRDefault="00856F3D"/>
    <w:p w14:paraId="71112B98" w14:textId="41A7FA97" w:rsidR="00856F3D" w:rsidRDefault="00856F3D">
      <w:pPr>
        <w:pBdr>
          <w:bottom w:val="single" w:sz="12" w:space="1" w:color="auto"/>
        </w:pBdr>
      </w:pPr>
      <w:r w:rsidRPr="00856F3D">
        <w:rPr>
          <w:b/>
          <w:bCs/>
        </w:rPr>
        <w:t>Answer:</w:t>
      </w:r>
      <w:r>
        <w:t xml:space="preserve"> Anesthetize with 2000 ppm MS-222 and then </w:t>
      </w:r>
      <w:proofErr w:type="spellStart"/>
      <w:r>
        <w:t>intracoelomic</w:t>
      </w:r>
      <w:proofErr w:type="spellEnd"/>
      <w:r>
        <w:t xml:space="preserve"> injection of </w:t>
      </w:r>
      <w:proofErr w:type="spellStart"/>
      <w:r>
        <w:t>KCl</w:t>
      </w:r>
      <w:proofErr w:type="spellEnd"/>
      <w:r>
        <w:t xml:space="preserve">. Intracardiac </w:t>
      </w:r>
      <w:proofErr w:type="spellStart"/>
      <w:r>
        <w:t>KCl</w:t>
      </w:r>
      <w:proofErr w:type="spellEnd"/>
      <w:r>
        <w:t xml:space="preserve"> is an option, but it requires excellent technical skill and can be challenging to perform. Immersion </w:t>
      </w:r>
      <w:proofErr w:type="spellStart"/>
      <w:r>
        <w:t>KCl</w:t>
      </w:r>
      <w:proofErr w:type="spellEnd"/>
      <w:r>
        <w:t xml:space="preserve"> is an option, but it can cause significant adverse effects and takes roughly double the time to cause cardiac arrest as compared to </w:t>
      </w:r>
      <w:proofErr w:type="spellStart"/>
      <w:r>
        <w:t>intracoelomic</w:t>
      </w:r>
      <w:proofErr w:type="spellEnd"/>
      <w:r>
        <w:t xml:space="preserve"> </w:t>
      </w:r>
      <w:proofErr w:type="spellStart"/>
      <w:r>
        <w:t>KCl</w:t>
      </w:r>
      <w:proofErr w:type="spellEnd"/>
      <w:r>
        <w:t>.</w:t>
      </w:r>
    </w:p>
    <w:p w14:paraId="6AAB7F46" w14:textId="77777777" w:rsidR="00856F3D" w:rsidRDefault="00856F3D">
      <w:pPr>
        <w:pBdr>
          <w:bottom w:val="single" w:sz="12" w:space="1" w:color="auto"/>
        </w:pBdr>
      </w:pPr>
    </w:p>
    <w:p w14:paraId="0E9CDE61" w14:textId="77777777" w:rsidR="00856F3D" w:rsidRDefault="00856F3D"/>
    <w:p w14:paraId="6BF981A6" w14:textId="77777777" w:rsidR="00856F3D" w:rsidRDefault="00856F3D"/>
    <w:p w14:paraId="0D6BBB1D" w14:textId="77777777" w:rsidR="00856F3D" w:rsidRDefault="00856F3D" w:rsidP="00856F3D">
      <w:r w:rsidRPr="000A7A38">
        <w:rPr>
          <w:b/>
          <w:bCs/>
        </w:rPr>
        <w:t>Urinary corticosterone concentrations in free-ranging and managed cane toads (</w:t>
      </w:r>
      <w:proofErr w:type="spellStart"/>
      <w:r w:rsidRPr="000A7A38">
        <w:rPr>
          <w:b/>
          <w:bCs/>
          <w:i/>
          <w:iCs/>
        </w:rPr>
        <w:t>Rhinella</w:t>
      </w:r>
      <w:proofErr w:type="spellEnd"/>
      <w:r w:rsidRPr="000A7A38">
        <w:rPr>
          <w:b/>
          <w:bCs/>
        </w:rPr>
        <w:t xml:space="preserve"> </w:t>
      </w:r>
      <w:r w:rsidRPr="000A7A38">
        <w:rPr>
          <w:b/>
          <w:bCs/>
          <w:i/>
          <w:iCs/>
        </w:rPr>
        <w:t>marina</w:t>
      </w:r>
      <w:r w:rsidRPr="000A7A38">
        <w:rPr>
          <w:b/>
          <w:bCs/>
        </w:rPr>
        <w:t>).</w:t>
      </w:r>
      <w:r>
        <w:t xml:space="preserve"> </w:t>
      </w:r>
      <w:r w:rsidRPr="000A7A38">
        <w:rPr>
          <w:i/>
          <w:iCs/>
        </w:rPr>
        <w:t>Journal of Zoo and Wildlife Medicine.</w:t>
      </w:r>
      <w:r>
        <w:t xml:space="preserve"> 52.4 (2021): 1234-1240.</w:t>
      </w:r>
    </w:p>
    <w:p w14:paraId="0D05200A" w14:textId="77777777" w:rsidR="00856F3D" w:rsidRDefault="00856F3D"/>
    <w:p w14:paraId="4494F4C1" w14:textId="77777777" w:rsidR="00856F3D" w:rsidRDefault="00856F3D"/>
    <w:p w14:paraId="095D4B32" w14:textId="593A2F5E" w:rsidR="00856F3D" w:rsidRDefault="00856F3D">
      <w:r>
        <w:t xml:space="preserve">Question: </w:t>
      </w:r>
      <w:r w:rsidR="005D2605">
        <w:t>In Marine Toads, urinary corticosterone levels significantly dropped around which timepoint when being held in managed care?</w:t>
      </w:r>
    </w:p>
    <w:p w14:paraId="0816B2BE" w14:textId="77777777" w:rsidR="005D2605" w:rsidRDefault="005D2605"/>
    <w:p w14:paraId="7CB0D700" w14:textId="46AE363A" w:rsidR="005D2605" w:rsidRDefault="005D2605" w:rsidP="005D2605">
      <w:pPr>
        <w:pStyle w:val="ListParagraph"/>
        <w:numPr>
          <w:ilvl w:val="0"/>
          <w:numId w:val="1"/>
        </w:numPr>
      </w:pPr>
      <w:r>
        <w:t>Day 22</w:t>
      </w:r>
    </w:p>
    <w:p w14:paraId="0A844B90" w14:textId="380B05B8" w:rsidR="005D2605" w:rsidRDefault="005D2605" w:rsidP="005D2605">
      <w:pPr>
        <w:pStyle w:val="ListParagraph"/>
        <w:numPr>
          <w:ilvl w:val="0"/>
          <w:numId w:val="1"/>
        </w:numPr>
      </w:pPr>
      <w:r>
        <w:t>Day 50</w:t>
      </w:r>
    </w:p>
    <w:p w14:paraId="554AAA5C" w14:textId="10F8BBEA" w:rsidR="005D2605" w:rsidRDefault="005D2605" w:rsidP="005D2605">
      <w:pPr>
        <w:pStyle w:val="ListParagraph"/>
        <w:numPr>
          <w:ilvl w:val="0"/>
          <w:numId w:val="1"/>
        </w:numPr>
      </w:pPr>
      <w:r>
        <w:t>Day 81</w:t>
      </w:r>
    </w:p>
    <w:p w14:paraId="0D9AC5D5" w14:textId="37980714" w:rsidR="005D2605" w:rsidRDefault="005D2605" w:rsidP="005D2605">
      <w:pPr>
        <w:pStyle w:val="ListParagraph"/>
        <w:numPr>
          <w:ilvl w:val="0"/>
          <w:numId w:val="1"/>
        </w:numPr>
      </w:pPr>
      <w:r>
        <w:t>Day 119</w:t>
      </w:r>
    </w:p>
    <w:p w14:paraId="65749E48" w14:textId="60676F97" w:rsidR="005D2605" w:rsidRDefault="005D2605" w:rsidP="005D2605">
      <w:pPr>
        <w:pStyle w:val="ListParagraph"/>
        <w:numPr>
          <w:ilvl w:val="0"/>
          <w:numId w:val="1"/>
        </w:numPr>
      </w:pPr>
      <w:r>
        <w:t>Never</w:t>
      </w:r>
    </w:p>
    <w:p w14:paraId="1C0AA36C" w14:textId="77777777" w:rsidR="005D2605" w:rsidRDefault="005D2605" w:rsidP="005D2605"/>
    <w:p w14:paraId="1F7375CE" w14:textId="1D7302BD" w:rsidR="005D2605" w:rsidRDefault="005D2605" w:rsidP="005D2605">
      <w:r>
        <w:t>Answer: A</w:t>
      </w:r>
    </w:p>
    <w:p w14:paraId="603CBCC3" w14:textId="15227636" w:rsidR="0079269A" w:rsidRDefault="0079269A" w:rsidP="005D2605"/>
    <w:p w14:paraId="19E73B29" w14:textId="77777777" w:rsidR="0079269A" w:rsidRDefault="0079269A" w:rsidP="0079269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61493F">
        <w:rPr>
          <w:rFonts w:ascii="Times New Roman" w:hAnsi="Times New Roman" w:cs="Times New Roman"/>
          <w:i/>
          <w:iCs/>
          <w:sz w:val="20"/>
          <w:szCs w:val="20"/>
        </w:rPr>
        <w:t>Journal of Wildlife Diseases, 59(3), 2023, pp. 442–452</w:t>
      </w:r>
    </w:p>
    <w:p w14:paraId="56D564AB" w14:textId="77777777" w:rsidR="0079269A" w:rsidRPr="007E5298" w:rsidRDefault="0079269A" w:rsidP="0079269A">
      <w:pPr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14:paraId="5383C69E" w14:textId="77777777" w:rsidR="0079269A" w:rsidRDefault="0079269A" w:rsidP="0079269A">
      <w:pPr>
        <w:contextualSpacing/>
        <w:jc w:val="center"/>
        <w:rPr>
          <w:rFonts w:ascii="Times New Roman" w:hAnsi="Times New Roman" w:cs="Times New Roman"/>
          <w:bCs/>
          <w:sz w:val="28"/>
          <w:szCs w:val="23"/>
        </w:rPr>
      </w:pPr>
      <w:r w:rsidRPr="0061493F">
        <w:rPr>
          <w:rFonts w:ascii="Times New Roman" w:hAnsi="Times New Roman" w:cs="Times New Roman"/>
          <w:bCs/>
          <w:sz w:val="28"/>
          <w:szCs w:val="23"/>
        </w:rPr>
        <w:t>MULTISYSTEMIC EMPHYSEMA (GAS BUBBLE DISEASE)- ASSOCIATED ACUTE MASS MORTALITY IN A FREE-RANGING POPULATION OF COMMON FROG (RANA TEMPORARIA) IN SWITZERLAND</w:t>
      </w:r>
    </w:p>
    <w:p w14:paraId="016774B8" w14:textId="77777777" w:rsidR="0079269A" w:rsidRPr="00B20FFE" w:rsidRDefault="0079269A" w:rsidP="0079269A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1493F">
        <w:rPr>
          <w:rFonts w:ascii="Times New Roman" w:hAnsi="Times New Roman" w:cs="Times New Roman"/>
          <w:sz w:val="18"/>
          <w:szCs w:val="18"/>
        </w:rPr>
        <w:t xml:space="preserve">Stephanie </w:t>
      </w:r>
      <w:proofErr w:type="spellStart"/>
      <w:r w:rsidRPr="0061493F">
        <w:rPr>
          <w:rFonts w:ascii="Times New Roman" w:hAnsi="Times New Roman" w:cs="Times New Roman"/>
          <w:sz w:val="18"/>
          <w:szCs w:val="18"/>
        </w:rPr>
        <w:t>Borel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1493F">
        <w:rPr>
          <w:rFonts w:ascii="Times New Roman" w:hAnsi="Times New Roman" w:cs="Times New Roman"/>
          <w:sz w:val="18"/>
          <w:szCs w:val="18"/>
        </w:rPr>
        <w:t xml:space="preserve">and Francesco </w:t>
      </w:r>
      <w:proofErr w:type="spellStart"/>
      <w:r w:rsidRPr="0061493F">
        <w:rPr>
          <w:rFonts w:ascii="Times New Roman" w:hAnsi="Times New Roman" w:cs="Times New Roman"/>
          <w:sz w:val="18"/>
          <w:szCs w:val="18"/>
        </w:rPr>
        <w:t>Origgi</w:t>
      </w:r>
      <w:proofErr w:type="spellEnd"/>
    </w:p>
    <w:p w14:paraId="78F557BC" w14:textId="77777777" w:rsidR="0079269A" w:rsidRDefault="0079269A" w:rsidP="0079269A"/>
    <w:p w14:paraId="7733BD88" w14:textId="77777777" w:rsidR="0079269A" w:rsidRDefault="0079269A" w:rsidP="0079269A">
      <w:pPr>
        <w:pStyle w:val="ListParagraph"/>
        <w:numPr>
          <w:ilvl w:val="0"/>
          <w:numId w:val="2"/>
        </w:numPr>
        <w:spacing w:after="160" w:line="278" w:lineRule="auto"/>
      </w:pPr>
      <w:r>
        <w:t>In a described mass mortality event of Common frogs (</w:t>
      </w:r>
      <w:r w:rsidRPr="00B20FFE">
        <w:rPr>
          <w:i/>
          <w:iCs/>
        </w:rPr>
        <w:t xml:space="preserve">Rana </w:t>
      </w:r>
      <w:proofErr w:type="spellStart"/>
      <w:r w:rsidRPr="00B20FFE">
        <w:rPr>
          <w:i/>
          <w:iCs/>
        </w:rPr>
        <w:t>temporaria</w:t>
      </w:r>
      <w:proofErr w:type="spellEnd"/>
      <w:r>
        <w:t>) in Switzerland, what macroscopic or microscopic features associated with presumptive Gas Bubble Disease were in direct contrast of what is commonly seen in fish?</w:t>
      </w:r>
    </w:p>
    <w:p w14:paraId="16FB07EA" w14:textId="77777777" w:rsidR="0079269A" w:rsidRDefault="0079269A" w:rsidP="0079269A">
      <w:pPr>
        <w:pStyle w:val="ListParagraph"/>
        <w:numPr>
          <w:ilvl w:val="1"/>
          <w:numId w:val="2"/>
        </w:numPr>
        <w:spacing w:after="160" w:line="278" w:lineRule="auto"/>
      </w:pPr>
      <w:r>
        <w:t>Emphysema within the brain</w:t>
      </w:r>
    </w:p>
    <w:p w14:paraId="376B5913" w14:textId="77777777" w:rsidR="0079269A" w:rsidRDefault="0079269A" w:rsidP="0079269A">
      <w:pPr>
        <w:pStyle w:val="ListParagraph"/>
        <w:numPr>
          <w:ilvl w:val="1"/>
          <w:numId w:val="2"/>
        </w:numPr>
        <w:spacing w:after="160" w:line="278" w:lineRule="auto"/>
      </w:pPr>
      <w:r>
        <w:t>Emphysema within the intestines</w:t>
      </w:r>
    </w:p>
    <w:p w14:paraId="2C45092B" w14:textId="77777777" w:rsidR="0079269A" w:rsidRDefault="0079269A" w:rsidP="0079269A">
      <w:pPr>
        <w:pStyle w:val="ListParagraph"/>
        <w:numPr>
          <w:ilvl w:val="1"/>
          <w:numId w:val="2"/>
        </w:numPr>
        <w:spacing w:after="160" w:line="278" w:lineRule="auto"/>
      </w:pPr>
      <w:r>
        <w:t>Bilateral exophthalmos</w:t>
      </w:r>
    </w:p>
    <w:p w14:paraId="6F7D733C" w14:textId="77777777" w:rsidR="0079269A" w:rsidRDefault="0079269A" w:rsidP="0079269A">
      <w:pPr>
        <w:pStyle w:val="ListParagraph"/>
        <w:numPr>
          <w:ilvl w:val="1"/>
          <w:numId w:val="2"/>
        </w:numPr>
        <w:spacing w:after="160" w:line="278" w:lineRule="auto"/>
      </w:pPr>
      <w:r>
        <w:lastRenderedPageBreak/>
        <w:t>Tongue protrusion and prolapsed stomach</w:t>
      </w:r>
    </w:p>
    <w:p w14:paraId="3ABAC2FA" w14:textId="77777777" w:rsidR="0079269A" w:rsidRDefault="0079269A" w:rsidP="0079269A">
      <w:pPr>
        <w:pStyle w:val="ListParagraph"/>
        <w:numPr>
          <w:ilvl w:val="1"/>
          <w:numId w:val="2"/>
        </w:numPr>
        <w:spacing w:after="160" w:line="278" w:lineRule="auto"/>
      </w:pPr>
      <w:r>
        <w:t>Skin distention by discrete gas bubbles</w:t>
      </w:r>
    </w:p>
    <w:p w14:paraId="29D6C62A" w14:textId="77777777" w:rsidR="0079269A" w:rsidRDefault="0079269A" w:rsidP="0079269A"/>
    <w:p w14:paraId="2F7D0ED4" w14:textId="77777777" w:rsidR="0079269A" w:rsidRDefault="0079269A" w:rsidP="0079269A">
      <w:r>
        <w:t xml:space="preserve">Correct answer: </w:t>
      </w:r>
      <w:r w:rsidRPr="00813346">
        <w:rPr>
          <w:u w:val="single"/>
        </w:rPr>
        <w:t>D. tongue protrusion and prolapsed stomach</w:t>
      </w:r>
      <w:r>
        <w:t xml:space="preserve">. In the necropsies performed following this mass mortality event, multisystemic emphysema affected all organs except the brain and intestines (r/o A &amp; B). Bilateral exophthalmos was not observed in common frogs and is seen in fish experiencing GBD (r/o C). The discussion notes that the emphysema of the skin was distinctly different than “discrete gas bubbles observed in fish” (r/o E). Tongue protrusion and prolapsed stomach was seen in these frogs, and prolapse is also seen in fish experiencing barotrauma, which is a DDx for gas bubble disease for fish under human care. </w:t>
      </w:r>
    </w:p>
    <w:p w14:paraId="6BAE9F20" w14:textId="77777777" w:rsidR="0079269A" w:rsidRDefault="0079269A" w:rsidP="0079269A"/>
    <w:p w14:paraId="251B6CBD" w14:textId="77777777" w:rsidR="0079269A" w:rsidRDefault="0079269A" w:rsidP="0079269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C47C72">
        <w:rPr>
          <w:rFonts w:ascii="Times New Roman" w:hAnsi="Times New Roman" w:cs="Times New Roman"/>
          <w:i/>
          <w:iCs/>
          <w:sz w:val="20"/>
          <w:szCs w:val="20"/>
        </w:rPr>
        <w:t>Journal of Zoo and Wildlife Medicine 53(1): 19–30, 2022</w:t>
      </w:r>
    </w:p>
    <w:p w14:paraId="28274788" w14:textId="77777777" w:rsidR="0079269A" w:rsidRDefault="0079269A" w:rsidP="0079269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5F00114" w14:textId="77777777" w:rsidR="0079269A" w:rsidRPr="00C47C72" w:rsidRDefault="0079269A" w:rsidP="0079269A">
      <w:pPr>
        <w:contextualSpacing/>
        <w:jc w:val="center"/>
        <w:rPr>
          <w:rFonts w:ascii="Times New Roman" w:hAnsi="Times New Roman" w:cs="Times New Roman"/>
        </w:rPr>
      </w:pPr>
      <w:r w:rsidRPr="00C47C72">
        <w:rPr>
          <w:rFonts w:ascii="Times New Roman" w:hAnsi="Times New Roman" w:cs="Times New Roman"/>
        </w:rPr>
        <w:t>CHOLELITHIASIS IN CAPTIVE MOUNTAIN CHICKEN FROGS (</w:t>
      </w:r>
      <w:r w:rsidRPr="00C47C72">
        <w:rPr>
          <w:rFonts w:ascii="Times New Roman" w:hAnsi="Times New Roman" w:cs="Times New Roman"/>
          <w:i/>
          <w:iCs/>
        </w:rPr>
        <w:t>LEPTODACTYLUS FALLAX</w:t>
      </w:r>
      <w:r w:rsidRPr="00C47C72">
        <w:rPr>
          <w:rFonts w:ascii="Times New Roman" w:hAnsi="Times New Roman" w:cs="Times New Roman"/>
        </w:rPr>
        <w:t>): DIAGNOSTIC IMAGING AND HISTOPATHOLOGICAL FEATURES</w:t>
      </w:r>
    </w:p>
    <w:p w14:paraId="6366197B" w14:textId="77777777" w:rsidR="0079269A" w:rsidRDefault="0079269A" w:rsidP="0079269A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14:paraId="5EEC6CE2" w14:textId="77777777" w:rsidR="0079269A" w:rsidRPr="00C47C72" w:rsidRDefault="0079269A" w:rsidP="0079269A">
      <w:pPr>
        <w:contextualSpacing/>
        <w:jc w:val="center"/>
        <w:rPr>
          <w:rFonts w:ascii="Times New Roman" w:hAnsi="Times New Roman" w:cs="Times New Roman"/>
          <w:sz w:val="12"/>
          <w:szCs w:val="12"/>
        </w:rPr>
      </w:pPr>
      <w:r w:rsidRPr="00C47C72">
        <w:rPr>
          <w:rFonts w:ascii="Times New Roman" w:hAnsi="Times New Roman" w:cs="Times New Roman"/>
          <w:sz w:val="12"/>
          <w:szCs w:val="12"/>
        </w:rPr>
        <w:t xml:space="preserve">Sara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Gonī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 Martinez,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LdoVet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, MSc (WAH), MRCVS, Simon Spiro,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MVetMed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, DPhil,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Dipl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 ACVP,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FRCPath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, MRCVS, Amanda Guthrie, DVM, DACZM, DECZM (ZHM), MRCVS, Alberto Rodriguez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Barbon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,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LdoVet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,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CertZooMed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, DECZM (Avian), MRCVS, Javier Lopez,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Ldo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 Vet, MSc (WAH), DECZM (ZHM), MRCVS, Mark F.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Stidworthy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>, MA, V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etMB, PhD,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FRCPath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, MRCVS, Daniela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Denk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,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Dipl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 ECVP,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DrMedVet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, MRCVS, Hannah Jenkins, and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Taina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 Strike, BVSc, MSc (WAH), </w:t>
      </w:r>
      <w:proofErr w:type="spellStart"/>
      <w:r w:rsidRPr="00C47C72">
        <w:rPr>
          <w:rFonts w:ascii="Times New Roman" w:hAnsi="Times New Roman" w:cs="Times New Roman"/>
          <w:sz w:val="12"/>
          <w:szCs w:val="12"/>
        </w:rPr>
        <w:t>Dipl</w:t>
      </w:r>
      <w:proofErr w:type="spellEnd"/>
      <w:r w:rsidRPr="00C47C72">
        <w:rPr>
          <w:rFonts w:ascii="Times New Roman" w:hAnsi="Times New Roman" w:cs="Times New Roman"/>
          <w:sz w:val="12"/>
          <w:szCs w:val="12"/>
        </w:rPr>
        <w:t xml:space="preserve"> ECZM (ZHM), MRCVS</w:t>
      </w:r>
    </w:p>
    <w:p w14:paraId="2F19F4D7" w14:textId="77777777" w:rsidR="0079269A" w:rsidRDefault="0079269A" w:rsidP="0079269A"/>
    <w:p w14:paraId="11D2B4AD" w14:textId="77777777" w:rsidR="0079269A" w:rsidRDefault="0079269A" w:rsidP="0079269A">
      <w:pPr>
        <w:pStyle w:val="ListParagraph"/>
        <w:numPr>
          <w:ilvl w:val="0"/>
          <w:numId w:val="2"/>
        </w:numPr>
        <w:spacing w:after="160" w:line="278" w:lineRule="auto"/>
      </w:pPr>
      <w:r>
        <w:t>If a necropsy revealed cholelithiasis in a single mountain chicken frog (</w:t>
      </w:r>
      <w:proofErr w:type="spellStart"/>
      <w:r w:rsidRPr="008C58E6">
        <w:rPr>
          <w:i/>
          <w:iCs/>
        </w:rPr>
        <w:t>Leptodactylus</w:t>
      </w:r>
      <w:proofErr w:type="spellEnd"/>
      <w:r w:rsidRPr="008C58E6">
        <w:rPr>
          <w:i/>
          <w:iCs/>
        </w:rPr>
        <w:t xml:space="preserve"> </w:t>
      </w:r>
      <w:proofErr w:type="spellStart"/>
      <w:r w:rsidRPr="008C58E6">
        <w:rPr>
          <w:i/>
          <w:iCs/>
        </w:rPr>
        <w:t>fallux</w:t>
      </w:r>
      <w:proofErr w:type="spellEnd"/>
      <w:r>
        <w:t>), what would be the most appropriate antemortem diagnostic modality to screen the remainder of mountain chicken frogs housed in the collection?</w:t>
      </w:r>
    </w:p>
    <w:p w14:paraId="5B69F8C8" w14:textId="77777777" w:rsidR="0079269A" w:rsidRDefault="0079269A" w:rsidP="0079269A"/>
    <w:p w14:paraId="0B7A09BE" w14:textId="77777777" w:rsidR="0079269A" w:rsidRDefault="0079269A" w:rsidP="0079269A">
      <w:pPr>
        <w:pStyle w:val="ListParagraph"/>
        <w:numPr>
          <w:ilvl w:val="1"/>
          <w:numId w:val="2"/>
        </w:numPr>
        <w:spacing w:after="160" w:line="278" w:lineRule="auto"/>
      </w:pPr>
      <w:r>
        <w:t>Antemortem tests have poor sensitivity</w:t>
      </w:r>
    </w:p>
    <w:p w14:paraId="63D485E1" w14:textId="77777777" w:rsidR="0079269A" w:rsidRDefault="0079269A" w:rsidP="0079269A">
      <w:pPr>
        <w:pStyle w:val="ListParagraph"/>
        <w:numPr>
          <w:ilvl w:val="1"/>
          <w:numId w:val="2"/>
        </w:numPr>
        <w:spacing w:after="160" w:line="278" w:lineRule="auto"/>
      </w:pPr>
      <w:r>
        <w:t xml:space="preserve">Orthogonal </w:t>
      </w:r>
      <w:proofErr w:type="gramStart"/>
      <w:r>
        <w:t>whole body</w:t>
      </w:r>
      <w:proofErr w:type="gramEnd"/>
      <w:r>
        <w:t xml:space="preserve"> radiographs</w:t>
      </w:r>
    </w:p>
    <w:p w14:paraId="6B20E9FE" w14:textId="77777777" w:rsidR="0079269A" w:rsidRDefault="0079269A" w:rsidP="0079269A">
      <w:pPr>
        <w:pStyle w:val="ListParagraph"/>
        <w:numPr>
          <w:ilvl w:val="1"/>
          <w:numId w:val="2"/>
        </w:numPr>
        <w:spacing w:after="160" w:line="278" w:lineRule="auto"/>
      </w:pPr>
      <w:r>
        <w:t>Coelomic ultrasonography</w:t>
      </w:r>
    </w:p>
    <w:p w14:paraId="68BDACA2" w14:textId="77777777" w:rsidR="0079269A" w:rsidRDefault="0079269A" w:rsidP="0079269A">
      <w:pPr>
        <w:pStyle w:val="ListParagraph"/>
        <w:numPr>
          <w:ilvl w:val="1"/>
          <w:numId w:val="2"/>
        </w:numPr>
        <w:spacing w:after="160" w:line="278" w:lineRule="auto"/>
      </w:pPr>
      <w:r>
        <w:t>Computed tomography</w:t>
      </w:r>
    </w:p>
    <w:p w14:paraId="4F94AA54" w14:textId="77777777" w:rsidR="0079269A" w:rsidRDefault="0079269A" w:rsidP="0079269A">
      <w:pPr>
        <w:pStyle w:val="ListParagraph"/>
        <w:numPr>
          <w:ilvl w:val="1"/>
          <w:numId w:val="2"/>
        </w:numPr>
        <w:spacing w:after="160" w:line="278" w:lineRule="auto"/>
      </w:pPr>
      <w:r>
        <w:t>Endoscopic liver biopsy</w:t>
      </w:r>
    </w:p>
    <w:p w14:paraId="15572C70" w14:textId="77777777" w:rsidR="0079269A" w:rsidRDefault="0079269A" w:rsidP="0079269A">
      <w:r>
        <w:t xml:space="preserve">Correct answer: </w:t>
      </w:r>
      <w:r w:rsidRPr="008C58E6">
        <w:rPr>
          <w:u w:val="single"/>
        </w:rPr>
        <w:t>C. coelomic ultrasonography</w:t>
      </w:r>
      <w:r>
        <w:t xml:space="preserve"> has a sensitivity of 95% and is the diagnostic modality of choice. </w:t>
      </w:r>
      <w:proofErr w:type="gramStart"/>
      <w:r>
        <w:t>This rules</w:t>
      </w:r>
      <w:proofErr w:type="gramEnd"/>
      <w:r>
        <w:t xml:space="preserve"> out A. Orthogonal whole body radiographs have high specificity, but poor sensitivity, making them an inappropriate solo diagnostic tool for screening the remainder of the population (r/o B). CT has not been evaluated against the other modalities (r/o D) [this may be a bad distractor because CT could be proven to be superior to ultrasound in a subsequent study]. Endoscopic liver biopsy was included as a distractor due to the discussion of </w:t>
      </w:r>
      <w:proofErr w:type="spellStart"/>
      <w:r>
        <w:t>melanomacrophage</w:t>
      </w:r>
      <w:proofErr w:type="spellEnd"/>
      <w:r>
        <w:t xml:space="preserve"> density in liver tissue but is invasive and was also not evaluated in the study, this was assessed based on postmortem cases (r/o E).</w:t>
      </w:r>
    </w:p>
    <w:p w14:paraId="4C5088F2" w14:textId="77777777" w:rsidR="0079269A" w:rsidRDefault="0079269A" w:rsidP="0079269A"/>
    <w:p w14:paraId="29E9A35C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Kane, Lauren P., et al. "Review of histologic lesions and mortality in Rio Cauca caecilians (</w:t>
      </w:r>
      <w:proofErr w:type="spellStart"/>
      <w:r w:rsidRPr="00501C89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Typhlonectes</w:t>
      </w:r>
      <w:proofErr w:type="spellEnd"/>
      <w:r w:rsidRPr="00501C89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501C89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natans</w:t>
      </w:r>
      <w:proofErr w:type="spellEnd"/>
      <w:r w:rsidRPr="00501C89">
        <w:rPr>
          <w:rFonts w:ascii="Calibri" w:eastAsia="Times New Roman" w:hAnsi="Calibri" w:cs="Calibri"/>
          <w:color w:val="000000"/>
          <w:sz w:val="22"/>
          <w:szCs w:val="22"/>
        </w:rPr>
        <w:t>) over a 22-year period." Journal of Zoo and Wildlife Medicine 52.3 (2021): 901-908.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032CDB8A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</w:p>
    <w:p w14:paraId="6AEEEBD0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Question:</w:t>
      </w:r>
    </w:p>
    <w:p w14:paraId="6AD96A9F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</w:p>
    <w:p w14:paraId="31DC416F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 xml:space="preserve">Which of the following are the two most common causes of death in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adult </w:t>
      </w: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Rio Cauca caecilians (</w:t>
      </w:r>
      <w:proofErr w:type="spellStart"/>
      <w:r w:rsidRPr="00501C89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Typhlonectes</w:t>
      </w:r>
      <w:proofErr w:type="spellEnd"/>
      <w:r w:rsidRPr="00501C89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501C89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natans</w:t>
      </w:r>
      <w:proofErr w:type="spellEnd"/>
      <w:r w:rsidRPr="00501C89">
        <w:rPr>
          <w:rFonts w:ascii="Calibri" w:eastAsia="Times New Roman" w:hAnsi="Calibri" w:cs="Calibri"/>
          <w:color w:val="000000"/>
          <w:sz w:val="22"/>
          <w:szCs w:val="22"/>
        </w:rPr>
        <w:t>)?</w:t>
      </w:r>
    </w:p>
    <w:p w14:paraId="69C719E9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  <w:r w:rsidRPr="00501C89">
        <w:rPr>
          <w:rFonts w:ascii="Times New Roman" w:eastAsia="Times New Roman" w:hAnsi="Times New Roman" w:cs="Times New Roman"/>
        </w:rPr>
        <w:br/>
      </w:r>
    </w:p>
    <w:p w14:paraId="1639F0A4" w14:textId="77777777" w:rsidR="0079269A" w:rsidRPr="00501C89" w:rsidRDefault="0079269A" w:rsidP="0079269A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Renal disease and gastrointestinal parasitism </w:t>
      </w:r>
    </w:p>
    <w:p w14:paraId="47D173C2" w14:textId="77777777" w:rsidR="0079269A" w:rsidRPr="00501C89" w:rsidRDefault="0079269A" w:rsidP="0079269A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Gastrointestinal parasitism and skin disease</w:t>
      </w:r>
    </w:p>
    <w:p w14:paraId="4952AB73" w14:textId="77777777" w:rsidR="0079269A" w:rsidRPr="00501C89" w:rsidRDefault="0079269A" w:rsidP="0079269A">
      <w:pPr>
        <w:numPr>
          <w:ilvl w:val="0"/>
          <w:numId w:val="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Hepatic disease and skin disease</w:t>
      </w:r>
    </w:p>
    <w:p w14:paraId="038829AE" w14:textId="77777777" w:rsidR="0079269A" w:rsidRPr="00501C89" w:rsidRDefault="0079269A" w:rsidP="0079269A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Renal disease and skin disease</w:t>
      </w:r>
    </w:p>
    <w:p w14:paraId="19B3B5F4" w14:textId="77777777" w:rsidR="0079269A" w:rsidRPr="00501C89" w:rsidRDefault="0079269A" w:rsidP="0079269A">
      <w:pPr>
        <w:numPr>
          <w:ilvl w:val="0"/>
          <w:numId w:val="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Skin disease and cardiovascular disease</w:t>
      </w:r>
    </w:p>
    <w:p w14:paraId="1E581EE5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</w:p>
    <w:p w14:paraId="35A5F515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Answer:  D</w:t>
      </w:r>
    </w:p>
    <w:p w14:paraId="3AB801D1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</w:p>
    <w:p w14:paraId="402A8AF0" w14:textId="77777777" w:rsidR="0079269A" w:rsidRPr="00501C89" w:rsidRDefault="0079269A" w:rsidP="0079269A">
      <w:pPr>
        <w:pBdr>
          <w:bottom w:val="single" w:sz="12" w:space="1" w:color="000000"/>
        </w:pBdr>
        <w:rPr>
          <w:rFonts w:ascii="Times New Roman" w:eastAsia="Times New Roman" w:hAnsi="Times New Roman" w:cs="Times New Roman"/>
        </w:rPr>
      </w:pPr>
    </w:p>
    <w:p w14:paraId="3B20F520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</w:p>
    <w:p w14:paraId="7A68A197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Francois, Camille, et al. "Gross and ultrasonographic anatomy of the coelomic organs of healthy axolotls (</w:t>
      </w:r>
      <w:r w:rsidRPr="00501C89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Ambystoma mexicanum</w:t>
      </w: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)." Journal of Zoo and Wildlife Medicine 54.4 (2024): 670-680.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1B0C1D50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</w:p>
    <w:p w14:paraId="3ACD387D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Question:</w:t>
      </w:r>
    </w:p>
    <w:p w14:paraId="6DFCF69D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</w:p>
    <w:p w14:paraId="1C8DD1C2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Which of the following statements is most correct regarding ultrasonographic anatomy of the coelomic organs of healthy axolotls (</w:t>
      </w:r>
      <w:r w:rsidRPr="00501C89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Ambystoma mexicanum</w:t>
      </w: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)?</w:t>
      </w:r>
    </w:p>
    <w:p w14:paraId="07B4C889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  <w:r w:rsidRPr="00501C89">
        <w:rPr>
          <w:rFonts w:ascii="Times New Roman" w:eastAsia="Times New Roman" w:hAnsi="Times New Roman" w:cs="Times New Roman"/>
        </w:rPr>
        <w:br/>
      </w:r>
    </w:p>
    <w:p w14:paraId="3D7DE711" w14:textId="77777777" w:rsidR="0079269A" w:rsidRPr="00501C89" w:rsidRDefault="0079269A" w:rsidP="0079269A">
      <w:pPr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 xml:space="preserve">The outlines and the position of atria and sinus venosus were easily identified </w:t>
      </w:r>
      <w:r>
        <w:rPr>
          <w:rFonts w:ascii="Calibri" w:eastAsia="Times New Roman" w:hAnsi="Calibri" w:cs="Calibri"/>
          <w:color w:val="000000"/>
          <w:sz w:val="22"/>
          <w:szCs w:val="22"/>
        </w:rPr>
        <w:t>on ultrasound</w:t>
      </w:r>
    </w:p>
    <w:p w14:paraId="221652F7" w14:textId="77777777" w:rsidR="0079269A" w:rsidRPr="00501C89" w:rsidRDefault="0079269A" w:rsidP="0079269A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There was a significant positive correlation between spleen thickness and body width</w:t>
      </w:r>
    </w:p>
    <w:p w14:paraId="4D7994C3" w14:textId="77777777" w:rsidR="0079269A" w:rsidRPr="00501C89" w:rsidRDefault="0079269A" w:rsidP="0079269A">
      <w:pPr>
        <w:numPr>
          <w:ilvl w:val="0"/>
          <w:numId w:val="10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Male axolotls were wider than female axolotls</w:t>
      </w:r>
    </w:p>
    <w:p w14:paraId="4C4CDE2C" w14:textId="77777777" w:rsidR="0079269A" w:rsidRPr="00501C89" w:rsidRDefault="0079269A" w:rsidP="0079269A">
      <w:pPr>
        <w:numPr>
          <w:ilvl w:val="0"/>
          <w:numId w:val="1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The pancreas was easily identified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on ultrasound</w:t>
      </w:r>
      <w:r w:rsidRPr="00501C89">
        <w:rPr>
          <w:rFonts w:ascii="Calibri" w:eastAsia="Times New Roman" w:hAnsi="Calibri" w:cs="Calibri"/>
          <w:color w:val="000000"/>
          <w:sz w:val="22"/>
          <w:szCs w:val="22"/>
        </w:rPr>
        <w:t xml:space="preserve"> in the majority of axolotls</w:t>
      </w:r>
    </w:p>
    <w:p w14:paraId="3BF415F3" w14:textId="77777777" w:rsidR="0079269A" w:rsidRPr="00501C89" w:rsidRDefault="0079269A" w:rsidP="0079269A">
      <w:pPr>
        <w:numPr>
          <w:ilvl w:val="0"/>
          <w:numId w:val="12"/>
        </w:numPr>
        <w:ind w:left="720" w:hanging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Ultrasonographic measurements of the left testicle diameter w</w:t>
      </w:r>
      <w:r>
        <w:rPr>
          <w:rFonts w:ascii="Calibri" w:eastAsia="Times New Roman" w:hAnsi="Calibri" w:cs="Calibri"/>
          <w:color w:val="000000"/>
          <w:sz w:val="22"/>
          <w:szCs w:val="22"/>
        </w:rPr>
        <w:t>ere</w:t>
      </w:r>
      <w:r w:rsidRPr="00501C89">
        <w:rPr>
          <w:rFonts w:ascii="Calibri" w:eastAsia="Times New Roman" w:hAnsi="Calibri" w:cs="Calibri"/>
          <w:color w:val="000000"/>
          <w:sz w:val="22"/>
          <w:szCs w:val="22"/>
        </w:rPr>
        <w:t xml:space="preserve"> highly repeatable</w:t>
      </w:r>
    </w:p>
    <w:p w14:paraId="1DFAEE8F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</w:p>
    <w:p w14:paraId="3E9EB147" w14:textId="77777777" w:rsidR="0079269A" w:rsidRPr="00501C89" w:rsidRDefault="0079269A" w:rsidP="0079269A">
      <w:pPr>
        <w:rPr>
          <w:rFonts w:ascii="Times New Roman" w:eastAsia="Times New Roman" w:hAnsi="Times New Roman" w:cs="Times New Roman"/>
        </w:rPr>
      </w:pPr>
      <w:r w:rsidRPr="00501C89">
        <w:rPr>
          <w:rFonts w:ascii="Calibri" w:eastAsia="Times New Roman" w:hAnsi="Calibri" w:cs="Calibri"/>
          <w:color w:val="000000"/>
          <w:sz w:val="22"/>
          <w:szCs w:val="22"/>
        </w:rPr>
        <w:t>Answer:  B</w:t>
      </w:r>
    </w:p>
    <w:p w14:paraId="6903B5A6" w14:textId="77777777" w:rsidR="0079269A" w:rsidRDefault="0079269A" w:rsidP="0079269A"/>
    <w:p w14:paraId="4E5C9EBC" w14:textId="77777777" w:rsidR="0079269A" w:rsidRDefault="0079269A" w:rsidP="0079269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Explanation: </w:t>
      </w:r>
    </w:p>
    <w:p w14:paraId="52426EAF" w14:textId="77777777" w:rsidR="0079269A" w:rsidRDefault="0079269A" w:rsidP="0079269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outlines and the position of atria, truncus arteriosus, and sinus venosus were unclear, probably because of the thinness or small size of these structures. </w:t>
      </w:r>
    </w:p>
    <w:p w14:paraId="599D07FD" w14:textId="77777777" w:rsidR="0079269A" w:rsidRDefault="0079269A" w:rsidP="0079269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Females were wider (P = 0.04) than males.</w:t>
      </w:r>
    </w:p>
    <w:p w14:paraId="78485BA2" w14:textId="77777777" w:rsidR="0079269A" w:rsidRDefault="0079269A" w:rsidP="0079269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pancreas and adrenal glands could not be identified in any animals, either during necropsy or ultrasonography. </w:t>
      </w:r>
    </w:p>
    <w:p w14:paraId="0AF0572E" w14:textId="77777777" w:rsidR="0079269A" w:rsidRDefault="0079269A" w:rsidP="0079269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CV for stomach wall width, pericardial effusion, left kidney width, and left testicle diameter was &lt;25%. Ultrasonographic measurements of the liver, spleen, myocardial thickness, and right and left kidney length were highly repeatable (correlation value [CV] &lt; 5%).</w:t>
      </w:r>
    </w:p>
    <w:p w14:paraId="414D46F8" w14:textId="77777777" w:rsidR="0079269A" w:rsidRDefault="0079269A" w:rsidP="0079269A"/>
    <w:p w14:paraId="0A66B9BD" w14:textId="77777777" w:rsidR="0079269A" w:rsidRDefault="0079269A" w:rsidP="0079269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F724B">
        <w:rPr>
          <w:rFonts w:ascii="Times New Roman" w:hAnsi="Times New Roman" w:cs="Times New Roman"/>
          <w:b/>
          <w:bCs/>
          <w:sz w:val="22"/>
          <w:szCs w:val="22"/>
        </w:rPr>
        <w:t>CASE DEFINITION AND TREATMENT TRIAL OF TETANY SYNDROME IN PANAMANIAN GOLDEN FROGS (ATELOPUS ZETEKI)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5F724B">
        <w:rPr>
          <w:rFonts w:ascii="Times New Roman" w:hAnsi="Times New Roman" w:cs="Times New Roman"/>
          <w:sz w:val="22"/>
          <w:szCs w:val="22"/>
        </w:rPr>
        <w:t xml:space="preserve"> JZWM </w:t>
      </w:r>
      <w:r>
        <w:rPr>
          <w:rFonts w:ascii="Times New Roman" w:hAnsi="Times New Roman" w:cs="Times New Roman"/>
          <w:sz w:val="22"/>
          <w:szCs w:val="22"/>
        </w:rPr>
        <w:t>2024.</w:t>
      </w:r>
    </w:p>
    <w:p w14:paraId="21F03B10" w14:textId="77777777" w:rsidR="0079269A" w:rsidRDefault="0079269A" w:rsidP="0079269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Question: Which oral treatment is reported to be the most effective at improving tetany syndrome in a Panamanian golden frog (</w:t>
      </w:r>
      <w:proofErr w:type="spellStart"/>
      <w:r w:rsidRPr="00331C9C">
        <w:rPr>
          <w:rFonts w:ascii="Times New Roman" w:hAnsi="Times New Roman" w:cs="Times New Roman"/>
          <w:i/>
          <w:iCs/>
          <w:sz w:val="22"/>
          <w:szCs w:val="22"/>
        </w:rPr>
        <w:t>Atelopus</w:t>
      </w:r>
      <w:proofErr w:type="spellEnd"/>
      <w:r w:rsidRPr="00331C9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31C9C">
        <w:rPr>
          <w:rFonts w:ascii="Times New Roman" w:hAnsi="Times New Roman" w:cs="Times New Roman"/>
          <w:i/>
          <w:iCs/>
          <w:sz w:val="22"/>
          <w:szCs w:val="22"/>
        </w:rPr>
        <w:t>zeteki</w:t>
      </w:r>
      <w:proofErr w:type="spellEnd"/>
      <w:r>
        <w:rPr>
          <w:rFonts w:ascii="Times New Roman" w:hAnsi="Times New Roman" w:cs="Times New Roman"/>
          <w:sz w:val="22"/>
          <w:szCs w:val="22"/>
        </w:rPr>
        <w:t>)?</w:t>
      </w:r>
    </w:p>
    <w:p w14:paraId="18169F85" w14:textId="77777777" w:rsidR="0079269A" w:rsidRDefault="0079269A" w:rsidP="007926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Calcium gluconate</w:t>
      </w:r>
    </w:p>
    <w:p w14:paraId="36F26877" w14:textId="77777777" w:rsidR="0079269A" w:rsidRDefault="0079269A" w:rsidP="007926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Magnesium chloride</w:t>
      </w:r>
    </w:p>
    <w:p w14:paraId="0C9E6B16" w14:textId="77777777" w:rsidR="0079269A" w:rsidRDefault="0079269A" w:rsidP="007926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Supplemental gavage feeding</w:t>
      </w:r>
    </w:p>
    <w:p w14:paraId="347ED3E7" w14:textId="77777777" w:rsidR="0079269A" w:rsidRDefault="0079269A" w:rsidP="007926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Combo Ca, Mg, B vitamin complex</w:t>
      </w:r>
    </w:p>
    <w:p w14:paraId="00942581" w14:textId="77777777" w:rsidR="0079269A" w:rsidRDefault="0079269A" w:rsidP="007926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Amphibian Ringers Solution</w:t>
      </w:r>
    </w:p>
    <w:p w14:paraId="4E6F7E82" w14:textId="77777777" w:rsidR="0079269A" w:rsidRDefault="0079269A" w:rsidP="0079269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Answer: D</w:t>
      </w:r>
    </w:p>
    <w:p w14:paraId="2655275B" w14:textId="77777777" w:rsidR="0079269A" w:rsidRDefault="0079269A" w:rsidP="0079269A">
      <w:pPr>
        <w:rPr>
          <w:rFonts w:ascii="Times New Roman" w:hAnsi="Times New Roman" w:cs="Times New Roman"/>
          <w:sz w:val="22"/>
          <w:szCs w:val="22"/>
        </w:rPr>
      </w:pPr>
    </w:p>
    <w:p w14:paraId="2BD3A31B" w14:textId="77777777" w:rsidR="0079269A" w:rsidRDefault="0079269A" w:rsidP="0079269A">
      <w:pPr>
        <w:rPr>
          <w:rFonts w:ascii="Times New Roman" w:hAnsi="Times New Roman" w:cs="Times New Roman"/>
          <w:sz w:val="22"/>
          <w:szCs w:val="22"/>
        </w:rPr>
      </w:pPr>
    </w:p>
    <w:p w14:paraId="7124FC80" w14:textId="77777777" w:rsidR="0079269A" w:rsidRPr="005F724B" w:rsidRDefault="0079269A" w:rsidP="0079269A">
      <w:pPr>
        <w:rPr>
          <w:rFonts w:ascii="Times New Roman" w:hAnsi="Times New Roman" w:cs="Times New Roman"/>
          <w:sz w:val="22"/>
          <w:szCs w:val="22"/>
        </w:rPr>
      </w:pPr>
      <w:r w:rsidRPr="005F724B">
        <w:rPr>
          <w:rFonts w:ascii="Times New Roman" w:hAnsi="Times New Roman" w:cs="Times New Roman"/>
          <w:b/>
          <w:bCs/>
          <w:sz w:val="22"/>
          <w:szCs w:val="22"/>
        </w:rPr>
        <w:t xml:space="preserve">PREVALENCE OF OCULAR ABNORMALITIES AND NORMAL DIAGNOSTIC PARAMETERS IN TWO GROUPS OF PANAMANIAN GOLDEN FROGS (ATELOPUS ZETEKI). </w:t>
      </w:r>
      <w:r>
        <w:rPr>
          <w:rFonts w:ascii="Times New Roman" w:hAnsi="Times New Roman" w:cs="Times New Roman"/>
          <w:sz w:val="22"/>
          <w:szCs w:val="22"/>
        </w:rPr>
        <w:t xml:space="preserve">JZWM 2024. </w:t>
      </w:r>
    </w:p>
    <w:p w14:paraId="32F7B575" w14:textId="77777777" w:rsidR="0079269A" w:rsidRPr="002117DE" w:rsidRDefault="0079269A" w:rsidP="0079269A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Question: </w:t>
      </w:r>
      <w:r w:rsidRPr="00211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Which ocular abnormality is reported to have the highest prevalence in captive Panamanian golden frogs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31C9C">
        <w:rPr>
          <w:rFonts w:ascii="Times New Roman" w:hAnsi="Times New Roman" w:cs="Times New Roman"/>
          <w:i/>
          <w:iCs/>
          <w:sz w:val="22"/>
          <w:szCs w:val="22"/>
        </w:rPr>
        <w:t>Atelopus</w:t>
      </w:r>
      <w:proofErr w:type="spellEnd"/>
      <w:r w:rsidRPr="00331C9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31C9C">
        <w:rPr>
          <w:rFonts w:ascii="Times New Roman" w:hAnsi="Times New Roman" w:cs="Times New Roman"/>
          <w:i/>
          <w:iCs/>
          <w:sz w:val="22"/>
          <w:szCs w:val="22"/>
        </w:rPr>
        <w:t>zeteki</w:t>
      </w:r>
      <w:proofErr w:type="spellEnd"/>
      <w:r>
        <w:rPr>
          <w:rFonts w:ascii="Times New Roman" w:hAnsi="Times New Roman" w:cs="Times New Roman"/>
          <w:sz w:val="22"/>
          <w:szCs w:val="22"/>
        </w:rPr>
        <w:t>)?</w:t>
      </w:r>
      <w:r w:rsidRPr="00211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?</w:t>
      </w:r>
    </w:p>
    <w:p w14:paraId="63F92630" w14:textId="77777777" w:rsidR="0079269A" w:rsidRPr="002117DE" w:rsidRDefault="0079269A" w:rsidP="0079269A">
      <w:pPr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211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Lipid keratopathy</w:t>
      </w:r>
    </w:p>
    <w:p w14:paraId="683AF3B9" w14:textId="77777777" w:rsidR="0079269A" w:rsidRPr="002117DE" w:rsidRDefault="0079269A" w:rsidP="0079269A">
      <w:pPr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211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Cataracts</w:t>
      </w:r>
    </w:p>
    <w:p w14:paraId="38A4FCD0" w14:textId="77777777" w:rsidR="0079269A" w:rsidRPr="002117DE" w:rsidRDefault="0079269A" w:rsidP="0079269A">
      <w:pPr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211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Trauma</w:t>
      </w:r>
    </w:p>
    <w:p w14:paraId="2C839407" w14:textId="77777777" w:rsidR="0079269A" w:rsidRPr="002117DE" w:rsidRDefault="0079269A" w:rsidP="0079269A">
      <w:pPr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211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Fungal keratitis</w:t>
      </w:r>
    </w:p>
    <w:p w14:paraId="4ED28990" w14:textId="77777777" w:rsidR="0079269A" w:rsidRPr="002117DE" w:rsidRDefault="0079269A" w:rsidP="0079269A">
      <w:pPr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proofErr w:type="spellStart"/>
      <w:r w:rsidRPr="00211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Hyphema</w:t>
      </w:r>
      <w:proofErr w:type="spellEnd"/>
    </w:p>
    <w:p w14:paraId="7DF43BEA" w14:textId="77777777" w:rsidR="0079269A" w:rsidRPr="002117DE" w:rsidRDefault="0079269A" w:rsidP="0079269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11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Answer: B</w:t>
      </w:r>
    </w:p>
    <w:p w14:paraId="1DAB81B6" w14:textId="77777777" w:rsidR="0079269A" w:rsidRDefault="0079269A" w:rsidP="0079269A"/>
    <w:p w14:paraId="48954E24" w14:textId="77777777" w:rsidR="0079269A" w:rsidRDefault="0079269A" w:rsidP="0079269A">
      <w:r>
        <w:t xml:space="preserve">What receptor does the drug </w:t>
      </w:r>
      <w:proofErr w:type="spellStart"/>
      <w:r>
        <w:t>alfaxalone</w:t>
      </w:r>
      <w:proofErr w:type="spellEnd"/>
      <w:r>
        <w:t xml:space="preserve"> target?</w:t>
      </w:r>
    </w:p>
    <w:p w14:paraId="22E3A794" w14:textId="77777777" w:rsidR="0079269A" w:rsidRDefault="0079269A" w:rsidP="0079269A"/>
    <w:p w14:paraId="12A08CD8" w14:textId="77777777" w:rsidR="0079269A" w:rsidRDefault="0079269A" w:rsidP="0079269A">
      <w:pPr>
        <w:numPr>
          <w:ilvl w:val="0"/>
          <w:numId w:val="16"/>
        </w:numPr>
        <w:spacing w:line="276" w:lineRule="auto"/>
      </w:pPr>
      <w:r>
        <w:t>Alpha-2 adrenergic</w:t>
      </w:r>
    </w:p>
    <w:p w14:paraId="3447F729" w14:textId="77777777" w:rsidR="0079269A" w:rsidRDefault="0079269A" w:rsidP="0079269A">
      <w:pPr>
        <w:numPr>
          <w:ilvl w:val="0"/>
          <w:numId w:val="16"/>
        </w:numPr>
        <w:spacing w:line="276" w:lineRule="auto"/>
      </w:pPr>
      <w:r>
        <w:t>Gamma aminobutyric acid</w:t>
      </w:r>
    </w:p>
    <w:p w14:paraId="47E1BEAE" w14:textId="77777777" w:rsidR="0079269A" w:rsidRDefault="0079269A" w:rsidP="0079269A">
      <w:pPr>
        <w:numPr>
          <w:ilvl w:val="0"/>
          <w:numId w:val="16"/>
        </w:numPr>
        <w:spacing w:line="276" w:lineRule="auto"/>
      </w:pPr>
      <w:r>
        <w:t>N-methyl-D-aspartate</w:t>
      </w:r>
    </w:p>
    <w:p w14:paraId="3A5CEA6F" w14:textId="77777777" w:rsidR="0079269A" w:rsidRDefault="0079269A" w:rsidP="0079269A">
      <w:pPr>
        <w:numPr>
          <w:ilvl w:val="0"/>
          <w:numId w:val="16"/>
        </w:numPr>
        <w:spacing w:line="276" w:lineRule="auto"/>
      </w:pPr>
      <w:r>
        <w:t>Dopaminergic</w:t>
      </w:r>
    </w:p>
    <w:p w14:paraId="199A7A45" w14:textId="77777777" w:rsidR="0079269A" w:rsidRDefault="0079269A" w:rsidP="0079269A">
      <w:pPr>
        <w:numPr>
          <w:ilvl w:val="0"/>
          <w:numId w:val="16"/>
        </w:numPr>
        <w:spacing w:line="276" w:lineRule="auto"/>
      </w:pPr>
      <w:r>
        <w:t>Benzodiazepine</w:t>
      </w:r>
    </w:p>
    <w:p w14:paraId="565169A7" w14:textId="77777777" w:rsidR="0079269A" w:rsidRDefault="0079269A" w:rsidP="0079269A"/>
    <w:p w14:paraId="0C4F1B8A" w14:textId="77777777" w:rsidR="0079269A" w:rsidRDefault="0079269A" w:rsidP="0079269A">
      <w:r>
        <w:t>Answer: B</w:t>
      </w:r>
    </w:p>
    <w:p w14:paraId="51E037E0" w14:textId="77777777" w:rsidR="0079269A" w:rsidRDefault="0079269A" w:rsidP="0079269A"/>
    <w:p w14:paraId="21CC75CD" w14:textId="77777777" w:rsidR="0079269A" w:rsidRDefault="0079269A" w:rsidP="0079269A">
      <w:r>
        <w:t xml:space="preserve">Which of the following is true in comparison of subcutaneous </w:t>
      </w:r>
      <w:proofErr w:type="spellStart"/>
      <w:r>
        <w:t>alfaxalone</w:t>
      </w:r>
      <w:proofErr w:type="spellEnd"/>
      <w:r>
        <w:t xml:space="preserve"> and subcutaneous </w:t>
      </w:r>
      <w:proofErr w:type="spellStart"/>
      <w:r>
        <w:t>alfaxalone</w:t>
      </w:r>
      <w:proofErr w:type="spellEnd"/>
      <w:r>
        <w:t>-dexmedetomidine for sedation in Houston toads?</w:t>
      </w:r>
    </w:p>
    <w:p w14:paraId="3BD002C1" w14:textId="77777777" w:rsidR="0079269A" w:rsidRDefault="0079269A" w:rsidP="0079269A"/>
    <w:p w14:paraId="36067251" w14:textId="77777777" w:rsidR="0079269A" w:rsidRDefault="0079269A" w:rsidP="0079269A">
      <w:pPr>
        <w:numPr>
          <w:ilvl w:val="0"/>
          <w:numId w:val="17"/>
        </w:numPr>
        <w:spacing w:line="276" w:lineRule="auto"/>
      </w:pPr>
      <w:r>
        <w:t xml:space="preserve">Histologically, </w:t>
      </w:r>
      <w:proofErr w:type="spellStart"/>
      <w:r>
        <w:t>alfaxalone</w:t>
      </w:r>
      <w:proofErr w:type="spellEnd"/>
      <w:r>
        <w:t xml:space="preserve"> showed to cause injections site reactions which was not appreciated with saline injections</w:t>
      </w:r>
    </w:p>
    <w:p w14:paraId="305C5CDA" w14:textId="77777777" w:rsidR="0079269A" w:rsidRDefault="0079269A" w:rsidP="0079269A">
      <w:pPr>
        <w:numPr>
          <w:ilvl w:val="0"/>
          <w:numId w:val="17"/>
        </w:numPr>
        <w:spacing w:line="276" w:lineRule="auto"/>
      </w:pPr>
      <w:r>
        <w:t>The most sensitive indicator of sedation in the Houston toad was shown to be the righting reflex alone</w:t>
      </w:r>
    </w:p>
    <w:p w14:paraId="6262DF59" w14:textId="77777777" w:rsidR="0079269A" w:rsidRDefault="0079269A" w:rsidP="0079269A">
      <w:pPr>
        <w:numPr>
          <w:ilvl w:val="0"/>
          <w:numId w:val="17"/>
        </w:numPr>
        <w:spacing w:line="276" w:lineRule="auto"/>
      </w:pPr>
      <w:proofErr w:type="spellStart"/>
      <w:r>
        <w:t>Alfaxalone</w:t>
      </w:r>
      <w:proofErr w:type="spellEnd"/>
      <w:r>
        <w:t xml:space="preserve"> had a significantly higher gular rate compared to the combination of </w:t>
      </w:r>
      <w:proofErr w:type="spellStart"/>
      <w:r>
        <w:t>alfaxalone</w:t>
      </w:r>
      <w:proofErr w:type="spellEnd"/>
      <w:r>
        <w:t>-dexmedetomidine</w:t>
      </w:r>
    </w:p>
    <w:p w14:paraId="061F5677" w14:textId="77777777" w:rsidR="0079269A" w:rsidRDefault="0079269A" w:rsidP="0079269A">
      <w:pPr>
        <w:numPr>
          <w:ilvl w:val="0"/>
          <w:numId w:val="17"/>
        </w:numPr>
        <w:spacing w:line="276" w:lineRule="auto"/>
      </w:pPr>
      <w:r>
        <w:t xml:space="preserve">All toads from both </w:t>
      </w:r>
      <w:proofErr w:type="spellStart"/>
      <w:r>
        <w:t>alfaxalone</w:t>
      </w:r>
      <w:proofErr w:type="spellEnd"/>
      <w:r>
        <w:t xml:space="preserve"> groups and </w:t>
      </w:r>
      <w:proofErr w:type="spellStart"/>
      <w:r>
        <w:t>alfaxalone</w:t>
      </w:r>
      <w:proofErr w:type="spellEnd"/>
      <w:r>
        <w:t>-dexmedetomidine groups lost nociception</w:t>
      </w:r>
    </w:p>
    <w:p w14:paraId="7B44D3BE" w14:textId="77777777" w:rsidR="0079269A" w:rsidRDefault="0079269A" w:rsidP="0079269A">
      <w:pPr>
        <w:numPr>
          <w:ilvl w:val="0"/>
          <w:numId w:val="17"/>
        </w:numPr>
        <w:spacing w:line="276" w:lineRule="auto"/>
      </w:pPr>
      <w:proofErr w:type="spellStart"/>
      <w:r>
        <w:t>Alfaxalone</w:t>
      </w:r>
      <w:proofErr w:type="spellEnd"/>
      <w:r>
        <w:t xml:space="preserve">-dexmedetomidine was found to have shorter recovery times compared to </w:t>
      </w:r>
      <w:proofErr w:type="spellStart"/>
      <w:r>
        <w:t>alfaxalone</w:t>
      </w:r>
      <w:proofErr w:type="spellEnd"/>
      <w:r>
        <w:t xml:space="preserve"> post reversal administration</w:t>
      </w:r>
    </w:p>
    <w:p w14:paraId="1A7C08ED" w14:textId="77777777" w:rsidR="0079269A" w:rsidRDefault="0079269A" w:rsidP="0079269A"/>
    <w:p w14:paraId="236F2AF7" w14:textId="77777777" w:rsidR="0079269A" w:rsidRDefault="0079269A" w:rsidP="0079269A">
      <w:r>
        <w:t>Answer: C</w:t>
      </w:r>
    </w:p>
    <w:p w14:paraId="661DA246" w14:textId="77777777" w:rsidR="0079269A" w:rsidRDefault="0079269A" w:rsidP="005D2605"/>
    <w:sectPr w:rsidR="00792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036"/>
    <w:multiLevelType w:val="multilevel"/>
    <w:tmpl w:val="AEE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D12D0"/>
    <w:multiLevelType w:val="hybridMultilevel"/>
    <w:tmpl w:val="11C27C2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7DB9"/>
    <w:multiLevelType w:val="hybridMultilevel"/>
    <w:tmpl w:val="E6C84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66260"/>
    <w:multiLevelType w:val="hybridMultilevel"/>
    <w:tmpl w:val="FE827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D451A"/>
    <w:multiLevelType w:val="multilevel"/>
    <w:tmpl w:val="6EB0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756BC"/>
    <w:multiLevelType w:val="multilevel"/>
    <w:tmpl w:val="48EC1C0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533003"/>
    <w:multiLevelType w:val="hybridMultilevel"/>
    <w:tmpl w:val="89B2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200C3"/>
    <w:multiLevelType w:val="multilevel"/>
    <w:tmpl w:val="F4A04E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BCF06C3"/>
    <w:multiLevelType w:val="multilevel"/>
    <w:tmpl w:val="3D10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857675">
    <w:abstractNumId w:val="3"/>
  </w:num>
  <w:num w:numId="2" w16cid:durableId="1013069716">
    <w:abstractNumId w:val="6"/>
  </w:num>
  <w:num w:numId="3" w16cid:durableId="2019303777">
    <w:abstractNumId w:val="8"/>
    <w:lvlOverride w:ilvl="0">
      <w:lvl w:ilvl="0">
        <w:numFmt w:val="upperLetter"/>
        <w:lvlText w:val="%1."/>
        <w:lvlJc w:val="left"/>
      </w:lvl>
    </w:lvlOverride>
  </w:num>
  <w:num w:numId="4" w16cid:durableId="974875661">
    <w:abstractNumId w:val="8"/>
    <w:lvlOverride w:ilvl="0">
      <w:lvl w:ilvl="0">
        <w:numFmt w:val="upperLetter"/>
        <w:lvlText w:val="%1."/>
        <w:lvlJc w:val="left"/>
      </w:lvl>
    </w:lvlOverride>
  </w:num>
  <w:num w:numId="5" w16cid:durableId="573011192">
    <w:abstractNumId w:val="8"/>
    <w:lvlOverride w:ilvl="0">
      <w:lvl w:ilvl="0">
        <w:numFmt w:val="upperLetter"/>
        <w:lvlText w:val="%1."/>
        <w:lvlJc w:val="left"/>
      </w:lvl>
    </w:lvlOverride>
  </w:num>
  <w:num w:numId="6" w16cid:durableId="1176771978">
    <w:abstractNumId w:val="8"/>
    <w:lvlOverride w:ilvl="0">
      <w:lvl w:ilvl="0">
        <w:numFmt w:val="upperLetter"/>
        <w:lvlText w:val="%1."/>
        <w:lvlJc w:val="left"/>
      </w:lvl>
    </w:lvlOverride>
  </w:num>
  <w:num w:numId="7" w16cid:durableId="1527644796">
    <w:abstractNumId w:val="8"/>
    <w:lvlOverride w:ilvl="0">
      <w:lvl w:ilvl="0">
        <w:numFmt w:val="upperLetter"/>
        <w:lvlText w:val="%1."/>
        <w:lvlJc w:val="left"/>
      </w:lvl>
    </w:lvlOverride>
  </w:num>
  <w:num w:numId="8" w16cid:durableId="162402473">
    <w:abstractNumId w:val="4"/>
    <w:lvlOverride w:ilvl="0">
      <w:lvl w:ilvl="0">
        <w:numFmt w:val="upperLetter"/>
        <w:lvlText w:val="%1."/>
        <w:lvlJc w:val="left"/>
      </w:lvl>
    </w:lvlOverride>
  </w:num>
  <w:num w:numId="9" w16cid:durableId="1655648620">
    <w:abstractNumId w:val="4"/>
    <w:lvlOverride w:ilvl="0">
      <w:lvl w:ilvl="0">
        <w:numFmt w:val="upperLetter"/>
        <w:lvlText w:val="%1."/>
        <w:lvlJc w:val="left"/>
      </w:lvl>
    </w:lvlOverride>
  </w:num>
  <w:num w:numId="10" w16cid:durableId="755828886">
    <w:abstractNumId w:val="4"/>
    <w:lvlOverride w:ilvl="0">
      <w:lvl w:ilvl="0">
        <w:numFmt w:val="upperLetter"/>
        <w:lvlText w:val="%1."/>
        <w:lvlJc w:val="left"/>
      </w:lvl>
    </w:lvlOverride>
  </w:num>
  <w:num w:numId="11" w16cid:durableId="663971920">
    <w:abstractNumId w:val="4"/>
    <w:lvlOverride w:ilvl="0">
      <w:lvl w:ilvl="0">
        <w:numFmt w:val="upperLetter"/>
        <w:lvlText w:val="%1."/>
        <w:lvlJc w:val="left"/>
      </w:lvl>
    </w:lvlOverride>
  </w:num>
  <w:num w:numId="12" w16cid:durableId="2108498041">
    <w:abstractNumId w:val="4"/>
    <w:lvlOverride w:ilvl="0">
      <w:lvl w:ilvl="0">
        <w:numFmt w:val="upperLetter"/>
        <w:lvlText w:val="%1."/>
        <w:lvlJc w:val="left"/>
      </w:lvl>
    </w:lvlOverride>
  </w:num>
  <w:num w:numId="13" w16cid:durableId="245462835">
    <w:abstractNumId w:val="0"/>
  </w:num>
  <w:num w:numId="14" w16cid:durableId="1834029203">
    <w:abstractNumId w:val="2"/>
  </w:num>
  <w:num w:numId="15" w16cid:durableId="2101634257">
    <w:abstractNumId w:val="1"/>
  </w:num>
  <w:num w:numId="16" w16cid:durableId="294796031">
    <w:abstractNumId w:val="5"/>
  </w:num>
  <w:num w:numId="17" w16cid:durableId="2107338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7B"/>
    <w:rsid w:val="000A27E4"/>
    <w:rsid w:val="005D2605"/>
    <w:rsid w:val="0079269A"/>
    <w:rsid w:val="008479F3"/>
    <w:rsid w:val="00853445"/>
    <w:rsid w:val="00856F3D"/>
    <w:rsid w:val="008B397B"/>
    <w:rsid w:val="00A43341"/>
    <w:rsid w:val="00D76261"/>
    <w:rsid w:val="00D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48982"/>
  <w15:chartTrackingRefBased/>
  <w15:docId w15:val="{E478039B-230E-B349-916E-0085958D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F3D"/>
  </w:style>
  <w:style w:type="paragraph" w:styleId="Heading1">
    <w:name w:val="heading 1"/>
    <w:basedOn w:val="Normal"/>
    <w:next w:val="Normal"/>
    <w:link w:val="Heading1Char"/>
    <w:uiPriority w:val="9"/>
    <w:qFormat/>
    <w:rsid w:val="008B3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9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9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9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9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9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9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9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9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9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9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9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9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26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Martinelli</dc:creator>
  <cp:keywords/>
  <dc:description/>
  <cp:lastModifiedBy>Tara Myers Harrison</cp:lastModifiedBy>
  <cp:revision>2</cp:revision>
  <dcterms:created xsi:type="dcterms:W3CDTF">2024-08-23T01:14:00Z</dcterms:created>
  <dcterms:modified xsi:type="dcterms:W3CDTF">2024-08-23T01:14:00Z</dcterms:modified>
</cp:coreProperties>
</file>