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ECB2" w14:textId="77777777" w:rsidR="00774CCB" w:rsidRDefault="00000000">
      <w:pPr>
        <w:jc w:val="center"/>
      </w:pPr>
      <w:r>
        <w:t>MORBIDITY AND MORTALITY PATTERNS OF INDIAN RIVER LAGOON COMMON BOTTLENOSE DOLPHINS (TURSIOPS TRUNCATUS TRUNCATUS) 2002–2020</w:t>
      </w:r>
    </w:p>
    <w:p w14:paraId="15E5704A" w14:textId="77777777" w:rsidR="00774CCB" w:rsidRDefault="00000000">
      <w:pPr>
        <w:jc w:val="center"/>
      </w:pPr>
      <w:r>
        <w:t xml:space="preserve">Wendy </w:t>
      </w:r>
      <w:proofErr w:type="spellStart"/>
      <w:r>
        <w:t>Noke</w:t>
      </w:r>
      <w:proofErr w:type="spellEnd"/>
      <w:r>
        <w:t xml:space="preserve"> Durden,1,6 Teresa Jablonski,1 Megan Stolen,1,4 Connie Silbernagel,1</w:t>
      </w:r>
    </w:p>
    <w:p w14:paraId="1E1171AB" w14:textId="77777777" w:rsidR="00774CCB" w:rsidRDefault="00000000">
      <w:pPr>
        <w:jc w:val="center"/>
      </w:pPr>
      <w:r>
        <w:t>David Rotstein,</w:t>
      </w:r>
      <w:proofErr w:type="gramStart"/>
      <w:r>
        <w:t>2</w:t>
      </w:r>
      <w:proofErr w:type="gramEnd"/>
      <w:r>
        <w:t xml:space="preserve"> and Judy St. Leger3,5</w:t>
      </w:r>
    </w:p>
    <w:p w14:paraId="1E427C19" w14:textId="77777777" w:rsidR="00774CCB" w:rsidRDefault="00774CCB"/>
    <w:p w14:paraId="779F8FCA" w14:textId="77777777" w:rsidR="00774CCB" w:rsidRDefault="00000000">
      <w:r>
        <w:t xml:space="preserve">ABSTRACT: Mortality patterns in cetaceans are critical to understanding population health. Common bottlenose dolphins (Tursiops </w:t>
      </w:r>
      <w:proofErr w:type="spellStart"/>
      <w:r>
        <w:t>truncatus</w:t>
      </w:r>
      <w:proofErr w:type="spellEnd"/>
      <w:r>
        <w:t xml:space="preserve"> </w:t>
      </w:r>
      <w:proofErr w:type="spellStart"/>
      <w:r>
        <w:t>truncatus</w:t>
      </w:r>
      <w:proofErr w:type="spellEnd"/>
      <w:r>
        <w:t xml:space="preserve">) inhabiting the Indian River Lagoon (IRL), Florida have been subjected to four unusual mortality events (UMEs), highlighting the need to evaluate morbidity and mortality patterns. </w:t>
      </w:r>
      <w:r>
        <w:rPr>
          <w:highlight w:val="yellow"/>
        </w:rPr>
        <w:t>Complete gross examinations were conducted on 392 stranded dolphins and histopathological analyses were conducted for 178 animals (2002–2020)</w:t>
      </w:r>
      <w:r>
        <w:t xml:space="preserve">. The probable causes of mortality were grouped by etiologic category: degenerative, metabolic, nutritional, inflammatory (infectious and noninfectious disease), and trauma. Probable cause of mortality was determined in 57% (223/392) of cases. </w:t>
      </w:r>
      <w:r>
        <w:rPr>
          <w:highlight w:val="yellow"/>
        </w:rPr>
        <w:t xml:space="preserve">Inflammatory disease (infectious/noninfectious) and trauma were the most common. Inflammatory disease accounted for 41% of cases (91/223), with the lungs (pneumonia) </w:t>
      </w:r>
      <w:proofErr w:type="gramStart"/>
      <w:r>
        <w:rPr>
          <w:highlight w:val="yellow"/>
        </w:rPr>
        <w:t>most commonly affected</w:t>
      </w:r>
      <w:proofErr w:type="gramEnd"/>
      <w:r>
        <w:rPr>
          <w:highlight w:val="yellow"/>
        </w:rPr>
        <w:t xml:space="preserve">. </w:t>
      </w:r>
      <w:r>
        <w:t xml:space="preserve">Trauma accounted for 36% of strandings (80/223). </w:t>
      </w:r>
      <w:proofErr w:type="gramStart"/>
      <w:r>
        <w:t xml:space="preserve">The </w:t>
      </w:r>
      <w:r>
        <w:rPr>
          <w:highlight w:val="yellow"/>
        </w:rPr>
        <w:t>majority of</w:t>
      </w:r>
      <w:proofErr w:type="gramEnd"/>
      <w:r>
        <w:rPr>
          <w:highlight w:val="yellow"/>
        </w:rPr>
        <w:t xml:space="preserve"> trauma cases were due to anthropogenic activities (entanglement, fishing gear or other debris ingestion, and propeller strikes),</w:t>
      </w:r>
      <w:r>
        <w:t xml:space="preserve"> accounting for 58% of trauma cases (46/80). Natural trauma (prey-associated esophageal obstruction or asphyxiation, shark bites, and stingray interactions) accounted for 12% of all cases (26/223), and trauma of undetermined</w:t>
      </w:r>
    </w:p>
    <w:p w14:paraId="3F5C27E0" w14:textId="77777777" w:rsidR="00774CCB" w:rsidRDefault="00000000">
      <w:r>
        <w:t>origin was identified in 4% of cases (8/223). Starvation or inanition (nutritional) were the probable cause of mortality in 17% of cases and peaked during the 2013 UME (61% of cases). Degenerative and metabolic etiologies accounted for 5% of cases. This study represents the most comprehensive evaluation of morbidity and mortality patterns in IRL dolphins. Because IRL dolphins are routinely exposed to anthropogenic threats and have endured multiple UMEs, these baseline data are critical to the conservation and management of this population.</w:t>
      </w:r>
    </w:p>
    <w:p w14:paraId="4D72A101" w14:textId="77777777" w:rsidR="00774CCB" w:rsidRDefault="00774CCB"/>
    <w:p w14:paraId="41977B08" w14:textId="77777777" w:rsidR="00774CCB" w:rsidRDefault="00000000">
      <w:pPr>
        <w:numPr>
          <w:ilvl w:val="0"/>
          <w:numId w:val="1"/>
        </w:numPr>
      </w:pPr>
      <w:r>
        <w:t>IRL dolphins are exposed to and accumulate persistent pollutants (</w:t>
      </w:r>
      <w:proofErr w:type="spellStart"/>
      <w:r>
        <w:t>papillomas</w:t>
      </w:r>
      <w:proofErr w:type="spellEnd"/>
      <w:r>
        <w:t xml:space="preserve"> and skin disease- </w:t>
      </w:r>
      <w:proofErr w:type="spellStart"/>
      <w:r>
        <w:t>paracoccidiodomycosis</w:t>
      </w:r>
      <w:proofErr w:type="spellEnd"/>
      <w:r>
        <w:t xml:space="preserve"> </w:t>
      </w:r>
      <w:proofErr w:type="spellStart"/>
      <w:r>
        <w:t>ceti</w:t>
      </w:r>
      <w:proofErr w:type="spellEnd"/>
      <w:r>
        <w:t>)- immunocompromised population</w:t>
      </w:r>
    </w:p>
    <w:p w14:paraId="6B57A950" w14:textId="77777777" w:rsidR="00774CCB" w:rsidRDefault="00000000">
      <w:pPr>
        <w:numPr>
          <w:ilvl w:val="0"/>
          <w:numId w:val="1"/>
        </w:numPr>
      </w:pPr>
      <w:r>
        <w:t xml:space="preserve">2002-2020: 790 dolphins stranded (alive or dead) and needed intervention; 392 got complete gross and 178 received </w:t>
      </w:r>
      <w:proofErr w:type="spellStart"/>
      <w:r>
        <w:t>histo</w:t>
      </w:r>
      <w:proofErr w:type="spellEnd"/>
      <w:r>
        <w:t xml:space="preserve"> exam</w:t>
      </w:r>
    </w:p>
    <w:p w14:paraId="1D073FE0" w14:textId="77777777" w:rsidR="00774CCB" w:rsidRDefault="00000000">
      <w:pPr>
        <w:numPr>
          <w:ilvl w:val="0"/>
          <w:numId w:val="1"/>
        </w:numPr>
      </w:pPr>
      <w:r>
        <w:t>Stranding significantly more frequent in the summer; calves and adults stranded in nearly equal numbers with slightly fewer juveniles</w:t>
      </w:r>
    </w:p>
    <w:p w14:paraId="3A2A37BC" w14:textId="77777777" w:rsidR="00774CCB" w:rsidRDefault="00000000">
      <w:pPr>
        <w:numPr>
          <w:ilvl w:val="0"/>
          <w:numId w:val="1"/>
        </w:numPr>
      </w:pPr>
      <w:r>
        <w:t>Calves stranded more frequently during fall; juveniles=winter</w:t>
      </w:r>
    </w:p>
    <w:p w14:paraId="00A90C74" w14:textId="77777777" w:rsidR="00774CCB" w:rsidRDefault="00000000">
      <w:pPr>
        <w:numPr>
          <w:ilvl w:val="0"/>
          <w:numId w:val="1"/>
        </w:numPr>
      </w:pPr>
      <w:r>
        <w:t xml:space="preserve">Inflammatory disease and trauma were </w:t>
      </w:r>
      <w:proofErr w:type="gramStart"/>
      <w:r>
        <w:t>identified most commonly</w:t>
      </w:r>
      <w:proofErr w:type="gramEnd"/>
    </w:p>
    <w:p w14:paraId="704F79DB" w14:textId="77777777" w:rsidR="00774CCB" w:rsidRDefault="00000000">
      <w:pPr>
        <w:numPr>
          <w:ilvl w:val="1"/>
          <w:numId w:val="1"/>
        </w:numPr>
      </w:pPr>
      <w:r>
        <w:t>Respiratory disease was most common (Pneumonia: parasitic, multiagent, bacterial, and fungal</w:t>
      </w:r>
    </w:p>
    <w:p w14:paraId="3402BDD9" w14:textId="77777777" w:rsidR="00774CCB" w:rsidRDefault="00000000">
      <w:pPr>
        <w:numPr>
          <w:ilvl w:val="0"/>
          <w:numId w:val="1"/>
        </w:numPr>
      </w:pPr>
      <w:r>
        <w:t xml:space="preserve">Calves commonly succumbed to inflammatory and metabolic diseases; juveniles most commonly </w:t>
      </w:r>
      <w:proofErr w:type="gramStart"/>
      <w:r>
        <w:t>was</w:t>
      </w:r>
      <w:proofErr w:type="gramEnd"/>
      <w:r>
        <w:t xml:space="preserve"> inflammatory</w:t>
      </w:r>
    </w:p>
    <w:p w14:paraId="6839F370" w14:textId="77777777" w:rsidR="00774CCB" w:rsidRDefault="00000000">
      <w:pPr>
        <w:numPr>
          <w:ilvl w:val="0"/>
          <w:numId w:val="1"/>
        </w:numPr>
      </w:pPr>
      <w:r>
        <w:t>Trauma (anthropogenic) was leading cause of mortality in mature animals= anthropogenic trauma occurred more frequently in the summer</w:t>
      </w:r>
    </w:p>
    <w:p w14:paraId="123D0614" w14:textId="77777777" w:rsidR="00774CCB" w:rsidRDefault="00000000">
      <w:pPr>
        <w:numPr>
          <w:ilvl w:val="0"/>
          <w:numId w:val="1"/>
        </w:numPr>
      </w:pPr>
      <w:r>
        <w:t>Trauma occurred more than expected in Banana River</w:t>
      </w:r>
    </w:p>
    <w:p w14:paraId="4A1EE071" w14:textId="77777777" w:rsidR="00774CCB" w:rsidRDefault="00000000">
      <w:pPr>
        <w:numPr>
          <w:ilvl w:val="0"/>
          <w:numId w:val="1"/>
        </w:numPr>
      </w:pPr>
      <w:r>
        <w:t>Season specific stressors may influence dolphin mortality</w:t>
      </w:r>
    </w:p>
    <w:p w14:paraId="1D952B37" w14:textId="77777777" w:rsidR="00774CCB" w:rsidRDefault="00000000">
      <w:pPr>
        <w:numPr>
          <w:ilvl w:val="0"/>
          <w:numId w:val="1"/>
        </w:numPr>
      </w:pPr>
      <w:r>
        <w:t>Pneumonia common- lungworm infection being the common causative agent</w:t>
      </w:r>
    </w:p>
    <w:p w14:paraId="7EA7A07D" w14:textId="77777777" w:rsidR="00774CCB" w:rsidRDefault="00000000">
      <w:pPr>
        <w:numPr>
          <w:ilvl w:val="0"/>
          <w:numId w:val="1"/>
        </w:numPr>
      </w:pPr>
      <w:r>
        <w:lastRenderedPageBreak/>
        <w:t>Fishing gear interaction (entanglement and ingestion) were the most common anthropogenic trauma</w:t>
      </w:r>
    </w:p>
    <w:p w14:paraId="7FC4CE7F" w14:textId="77777777" w:rsidR="00774CCB" w:rsidRDefault="00000000">
      <w:pPr>
        <w:numPr>
          <w:ilvl w:val="0"/>
          <w:numId w:val="1"/>
        </w:numPr>
      </w:pPr>
      <w:r>
        <w:t>4 unusual mortality events: 3 were due to morbillivirus, the other undetermined</w:t>
      </w:r>
    </w:p>
    <w:p w14:paraId="3C32DE57" w14:textId="77777777" w:rsidR="00774CCB" w:rsidRDefault="00000000">
      <w:pPr>
        <w:numPr>
          <w:ilvl w:val="1"/>
          <w:numId w:val="1"/>
        </w:numPr>
      </w:pPr>
      <w:r>
        <w:t>Suspect the undetermined event was associated with ecological factors preceding the event including phytoplankton blooms that yielded catastrophic seagrass loss</w:t>
      </w:r>
    </w:p>
    <w:p w14:paraId="0688815B" w14:textId="3B2DA73D" w:rsidR="00774CCB" w:rsidRDefault="00000000">
      <w:r>
        <w:rPr>
          <w:noProof/>
        </w:rPr>
        <w:drawing>
          <wp:inline distT="114300" distB="114300" distL="114300" distR="114300" wp14:anchorId="3DD73A0E" wp14:editId="04DAF532">
            <wp:extent cx="5943600" cy="2832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832100"/>
                    </a:xfrm>
                    <a:prstGeom prst="rect">
                      <a:avLst/>
                    </a:prstGeom>
                    <a:ln/>
                  </pic:spPr>
                </pic:pic>
              </a:graphicData>
            </a:graphic>
          </wp:inline>
        </w:drawing>
      </w:r>
    </w:p>
    <w:p w14:paraId="61759511" w14:textId="76E49912" w:rsidR="006317AD" w:rsidRDefault="006317AD"/>
    <w:p w14:paraId="073632BE" w14:textId="77777777" w:rsidR="006317AD" w:rsidRPr="00EA4541" w:rsidRDefault="006317AD" w:rsidP="006317AD">
      <w:pPr>
        <w:rPr>
          <w:rFonts w:ascii="Calibri" w:eastAsia="Times New Roman" w:hAnsi="Calibri" w:cs="Calibri"/>
          <w:b/>
          <w:bCs/>
          <w:color w:val="000000"/>
        </w:rPr>
      </w:pPr>
      <w:r>
        <w:rPr>
          <w:rFonts w:ascii="Calibri" w:eastAsia="Times New Roman" w:hAnsi="Calibri" w:cs="Calibri"/>
          <w:color w:val="000000"/>
        </w:rPr>
        <w:t xml:space="preserve">Russell JP, Osborn SD, </w:t>
      </w:r>
      <w:proofErr w:type="spellStart"/>
      <w:r w:rsidRPr="00EA4541">
        <w:rPr>
          <w:rFonts w:ascii="Calibri" w:eastAsia="Times New Roman" w:hAnsi="Calibri" w:cs="Calibri"/>
          <w:color w:val="000000"/>
        </w:rPr>
        <w:t>Ivančić</w:t>
      </w:r>
      <w:proofErr w:type="spellEnd"/>
      <w:r>
        <w:rPr>
          <w:rFonts w:ascii="Calibri" w:eastAsia="Times New Roman" w:hAnsi="Calibri" w:cs="Calibri"/>
          <w:color w:val="000000"/>
        </w:rPr>
        <w:t xml:space="preserve"> M, et al</w:t>
      </w:r>
      <w:r w:rsidRPr="006F7CA2">
        <w:rPr>
          <w:rFonts w:ascii="Calibri" w:eastAsia="Times New Roman" w:hAnsi="Calibri" w:cs="Calibri"/>
          <w:color w:val="000000"/>
        </w:rPr>
        <w:t xml:space="preserve">. </w:t>
      </w:r>
      <w:r w:rsidRPr="00EA4541">
        <w:rPr>
          <w:rFonts w:ascii="Calibri" w:eastAsia="Times New Roman" w:hAnsi="Calibri" w:cs="Calibri"/>
          <w:color w:val="000000"/>
        </w:rPr>
        <w:t xml:space="preserve">Chronic </w:t>
      </w:r>
      <w:proofErr w:type="spellStart"/>
      <w:r w:rsidRPr="00EA4541">
        <w:rPr>
          <w:rFonts w:ascii="Calibri" w:eastAsia="Times New Roman" w:hAnsi="Calibri" w:cs="Calibri"/>
          <w:color w:val="000000"/>
        </w:rPr>
        <w:t>nonchylous</w:t>
      </w:r>
      <w:proofErr w:type="spellEnd"/>
      <w:r w:rsidRPr="00EA4541">
        <w:rPr>
          <w:rFonts w:ascii="Calibri" w:eastAsia="Times New Roman" w:hAnsi="Calibri" w:cs="Calibri"/>
          <w:color w:val="000000"/>
        </w:rPr>
        <w:t xml:space="preserve"> lymphatic pleural effusion in a bottlenose dolphin (</w:t>
      </w:r>
      <w:r w:rsidRPr="00EA4541">
        <w:rPr>
          <w:rFonts w:ascii="Calibri" w:eastAsia="Times New Roman" w:hAnsi="Calibri" w:cs="Calibri"/>
          <w:i/>
          <w:iCs/>
          <w:color w:val="000000"/>
        </w:rPr>
        <w:t xml:space="preserve">Tursiops </w:t>
      </w:r>
      <w:proofErr w:type="spellStart"/>
      <w:r w:rsidRPr="00EA4541">
        <w:rPr>
          <w:rFonts w:ascii="Calibri" w:eastAsia="Times New Roman" w:hAnsi="Calibri" w:cs="Calibri"/>
          <w:i/>
          <w:iCs/>
          <w:color w:val="000000"/>
        </w:rPr>
        <w:t>truncatus</w:t>
      </w:r>
      <w:proofErr w:type="spellEnd"/>
      <w:r w:rsidRPr="00EA4541">
        <w:rPr>
          <w:rFonts w:ascii="Calibri" w:eastAsia="Times New Roman" w:hAnsi="Calibri" w:cs="Calibri"/>
          <w:color w:val="000000"/>
        </w:rPr>
        <w:t xml:space="preserve">). </w:t>
      </w:r>
      <w:r w:rsidRPr="006F7CA2">
        <w:rPr>
          <w:rFonts w:ascii="Calibri" w:eastAsia="Times New Roman" w:hAnsi="Calibri" w:cs="Calibri"/>
          <w:i/>
          <w:iCs/>
          <w:color w:val="000000"/>
        </w:rPr>
        <w:t xml:space="preserve">Journal of </w:t>
      </w:r>
      <w:r>
        <w:rPr>
          <w:rFonts w:ascii="Calibri" w:eastAsia="Times New Roman" w:hAnsi="Calibri" w:cs="Calibri"/>
          <w:i/>
          <w:iCs/>
          <w:color w:val="000000"/>
        </w:rPr>
        <w:t>the American Veterinary Medical Association.</w:t>
      </w:r>
      <w:r w:rsidRPr="006F7CA2">
        <w:rPr>
          <w:rFonts w:ascii="Calibri" w:eastAsia="Times New Roman" w:hAnsi="Calibri" w:cs="Calibri"/>
          <w:color w:val="000000"/>
        </w:rPr>
        <w:t xml:space="preserve"> </w:t>
      </w:r>
      <w:r>
        <w:rPr>
          <w:rFonts w:ascii="Calibri" w:eastAsia="Times New Roman" w:hAnsi="Calibri" w:cs="Calibri"/>
          <w:color w:val="000000"/>
        </w:rPr>
        <w:t>2022;260(9)</w:t>
      </w:r>
    </w:p>
    <w:p w14:paraId="45455F6A" w14:textId="77777777" w:rsidR="006317AD" w:rsidRPr="00EB53A4" w:rsidRDefault="006317AD" w:rsidP="006317AD">
      <w:pPr>
        <w:rPr>
          <w:rFonts w:ascii="Times New Roman" w:eastAsia="Times New Roman" w:hAnsi="Times New Roman" w:cs="Times New Roman"/>
        </w:rPr>
      </w:pPr>
    </w:p>
    <w:p w14:paraId="116A4EC9" w14:textId="77777777" w:rsidR="006317AD" w:rsidRDefault="006317AD" w:rsidP="006317AD">
      <w:pPr>
        <w:rPr>
          <w:rFonts w:ascii="Calibri" w:eastAsia="Times New Roman" w:hAnsi="Calibri" w:cs="Calibri"/>
          <w:b/>
          <w:bCs/>
          <w:color w:val="000000"/>
        </w:rPr>
      </w:pPr>
      <w:r w:rsidRPr="00EB53A4">
        <w:rPr>
          <w:rFonts w:ascii="Calibri" w:eastAsia="Times New Roman" w:hAnsi="Calibri" w:cs="Calibri"/>
          <w:b/>
          <w:bCs/>
          <w:color w:val="000000"/>
        </w:rPr>
        <w:t>Abstract:</w:t>
      </w:r>
    </w:p>
    <w:p w14:paraId="365D305D" w14:textId="77777777" w:rsidR="006317AD" w:rsidRPr="00EA4541" w:rsidRDefault="006317AD" w:rsidP="006317AD">
      <w:pPr>
        <w:rPr>
          <w:rFonts w:ascii="Calibri" w:eastAsia="Times New Roman" w:hAnsi="Calibri" w:cs="Calibri"/>
          <w:color w:val="000000"/>
        </w:rPr>
      </w:pPr>
      <w:r w:rsidRPr="00EA4541">
        <w:rPr>
          <w:rFonts w:ascii="Calibri" w:eastAsia="Times New Roman" w:hAnsi="Calibri" w:cs="Calibri"/>
          <w:color w:val="000000"/>
        </w:rPr>
        <w:t>CASE DESCRIPTION</w:t>
      </w:r>
    </w:p>
    <w:p w14:paraId="3015343B" w14:textId="77777777" w:rsidR="006317AD" w:rsidRPr="00EA4541" w:rsidRDefault="006317AD" w:rsidP="006317AD">
      <w:pPr>
        <w:rPr>
          <w:rFonts w:ascii="Calibri" w:eastAsia="Times New Roman" w:hAnsi="Calibri" w:cs="Calibri"/>
          <w:b/>
          <w:bCs/>
          <w:color w:val="000000"/>
        </w:rPr>
      </w:pPr>
      <w:r w:rsidRPr="00EA4541">
        <w:rPr>
          <w:rFonts w:ascii="Calibri" w:eastAsia="Times New Roman" w:hAnsi="Calibri" w:cs="Calibri"/>
          <w:color w:val="000000"/>
        </w:rPr>
        <w:t>A 19-year-old male bottlenose dolphin (</w:t>
      </w:r>
      <w:r w:rsidRPr="00EA4541">
        <w:rPr>
          <w:rFonts w:ascii="Calibri" w:eastAsia="Times New Roman" w:hAnsi="Calibri" w:cs="Calibri"/>
          <w:i/>
          <w:iCs/>
          <w:color w:val="000000"/>
        </w:rPr>
        <w:t xml:space="preserve">Tursiops </w:t>
      </w:r>
      <w:proofErr w:type="spellStart"/>
      <w:r w:rsidRPr="00EA4541">
        <w:rPr>
          <w:rFonts w:ascii="Calibri" w:eastAsia="Times New Roman" w:hAnsi="Calibri" w:cs="Calibri"/>
          <w:i/>
          <w:iCs/>
          <w:color w:val="000000"/>
        </w:rPr>
        <w:t>truncatus</w:t>
      </w:r>
      <w:proofErr w:type="spellEnd"/>
      <w:r w:rsidRPr="00EA4541">
        <w:rPr>
          <w:rFonts w:ascii="Calibri" w:eastAsia="Times New Roman" w:hAnsi="Calibri" w:cs="Calibri"/>
          <w:color w:val="000000"/>
        </w:rPr>
        <w:t xml:space="preserve">) presented with </w:t>
      </w:r>
      <w:r w:rsidRPr="00EA4541">
        <w:rPr>
          <w:rFonts w:ascii="Calibri" w:eastAsia="Times New Roman" w:hAnsi="Calibri" w:cs="Calibri"/>
          <w:b/>
          <w:bCs/>
          <w:color w:val="000000"/>
        </w:rPr>
        <w:t>inappetence and avoidant behavior.</w:t>
      </w:r>
    </w:p>
    <w:p w14:paraId="38818A1C" w14:textId="77777777" w:rsidR="006317AD" w:rsidRPr="00EA4541" w:rsidRDefault="006317AD" w:rsidP="006317AD">
      <w:pPr>
        <w:rPr>
          <w:rFonts w:ascii="Calibri" w:eastAsia="Times New Roman" w:hAnsi="Calibri" w:cs="Calibri"/>
          <w:color w:val="000000"/>
        </w:rPr>
      </w:pPr>
      <w:r w:rsidRPr="00EA4541">
        <w:rPr>
          <w:rFonts w:ascii="Calibri" w:eastAsia="Times New Roman" w:hAnsi="Calibri" w:cs="Calibri"/>
          <w:color w:val="000000"/>
        </w:rPr>
        <w:t>CLINICAL FINDINGS</w:t>
      </w:r>
    </w:p>
    <w:p w14:paraId="5C9C235F" w14:textId="77777777" w:rsidR="006317AD" w:rsidRPr="00EA4541" w:rsidRDefault="006317AD" w:rsidP="006317AD">
      <w:pPr>
        <w:rPr>
          <w:rFonts w:ascii="Calibri" w:eastAsia="Times New Roman" w:hAnsi="Calibri" w:cs="Calibri"/>
          <w:color w:val="000000"/>
        </w:rPr>
      </w:pPr>
      <w:r w:rsidRPr="00EA4541">
        <w:rPr>
          <w:rFonts w:ascii="Calibri" w:eastAsia="Times New Roman" w:hAnsi="Calibri" w:cs="Calibri"/>
          <w:color w:val="000000"/>
        </w:rPr>
        <w:t xml:space="preserve">Ultrasound revealed </w:t>
      </w:r>
      <w:r w:rsidRPr="00EA4541">
        <w:rPr>
          <w:rFonts w:ascii="Calibri" w:eastAsia="Times New Roman" w:hAnsi="Calibri" w:cs="Calibri"/>
          <w:b/>
          <w:bCs/>
          <w:color w:val="000000"/>
        </w:rPr>
        <w:t>a large-volume left-sided pleural effusion</w:t>
      </w:r>
      <w:r w:rsidRPr="00EA4541">
        <w:rPr>
          <w:rFonts w:ascii="Calibri" w:eastAsia="Times New Roman" w:hAnsi="Calibri" w:cs="Calibri"/>
          <w:color w:val="000000"/>
        </w:rPr>
        <w:t xml:space="preserve">, which was consistent with </w:t>
      </w:r>
      <w:r w:rsidRPr="00EA4541">
        <w:rPr>
          <w:rFonts w:ascii="Calibri" w:eastAsia="Times New Roman" w:hAnsi="Calibri" w:cs="Calibri"/>
          <w:b/>
          <w:bCs/>
          <w:color w:val="000000"/>
        </w:rPr>
        <w:t xml:space="preserve">chronic </w:t>
      </w:r>
      <w:proofErr w:type="spellStart"/>
      <w:r w:rsidRPr="00EA4541">
        <w:rPr>
          <w:rFonts w:ascii="Calibri" w:eastAsia="Times New Roman" w:hAnsi="Calibri" w:cs="Calibri"/>
          <w:b/>
          <w:bCs/>
          <w:color w:val="000000"/>
        </w:rPr>
        <w:t>nonchylous</w:t>
      </w:r>
      <w:proofErr w:type="spellEnd"/>
      <w:r w:rsidRPr="00EA4541">
        <w:rPr>
          <w:rFonts w:ascii="Calibri" w:eastAsia="Times New Roman" w:hAnsi="Calibri" w:cs="Calibri"/>
          <w:b/>
          <w:bCs/>
          <w:color w:val="000000"/>
        </w:rPr>
        <w:t xml:space="preserve"> lymphatic effusion and mild chronic hemorrhage</w:t>
      </w:r>
      <w:r w:rsidRPr="00EA4541">
        <w:rPr>
          <w:rFonts w:ascii="Calibri" w:eastAsia="Times New Roman" w:hAnsi="Calibri" w:cs="Calibri"/>
          <w:color w:val="000000"/>
        </w:rPr>
        <w:t xml:space="preserve"> by cytology. Computed tomography identified </w:t>
      </w:r>
      <w:r w:rsidRPr="00EA4541">
        <w:rPr>
          <w:rFonts w:ascii="Calibri" w:eastAsia="Times New Roman" w:hAnsi="Calibri" w:cs="Calibri"/>
          <w:b/>
          <w:bCs/>
          <w:color w:val="000000"/>
        </w:rPr>
        <w:t>ipsilateral rib fractures, atelectasis, nodular pleuritis, marginal lymph node enlargement, and suspected dilation of the thoracic duct and internal thoracic veins</w:t>
      </w:r>
      <w:r w:rsidRPr="00EA4541">
        <w:rPr>
          <w:rFonts w:ascii="Calibri" w:eastAsia="Times New Roman" w:hAnsi="Calibri" w:cs="Calibri"/>
          <w:color w:val="000000"/>
        </w:rPr>
        <w:t xml:space="preserve">. Fifteen </w:t>
      </w:r>
      <w:r w:rsidRPr="00EA4541">
        <w:rPr>
          <w:rFonts w:ascii="Calibri" w:eastAsia="Times New Roman" w:hAnsi="Calibri" w:cs="Calibri"/>
          <w:b/>
          <w:bCs/>
          <w:color w:val="000000"/>
        </w:rPr>
        <w:t>lipids were significantly higher in serum</w:t>
      </w:r>
      <w:r w:rsidRPr="00EA4541">
        <w:rPr>
          <w:rFonts w:ascii="Calibri" w:eastAsia="Times New Roman" w:hAnsi="Calibri" w:cs="Calibri"/>
          <w:color w:val="000000"/>
        </w:rPr>
        <w:t xml:space="preserve"> of the dolphin as compared with controls (n = 3) using nontargeted </w:t>
      </w:r>
      <w:proofErr w:type="spellStart"/>
      <w:r w:rsidRPr="00EA4541">
        <w:rPr>
          <w:rFonts w:ascii="Calibri" w:eastAsia="Times New Roman" w:hAnsi="Calibri" w:cs="Calibri"/>
          <w:color w:val="000000"/>
        </w:rPr>
        <w:t>lipidomics</w:t>
      </w:r>
      <w:proofErr w:type="spellEnd"/>
      <w:r w:rsidRPr="00EA4541">
        <w:rPr>
          <w:rFonts w:ascii="Calibri" w:eastAsia="Times New Roman" w:hAnsi="Calibri" w:cs="Calibri"/>
          <w:color w:val="000000"/>
        </w:rPr>
        <w:t>.</w:t>
      </w:r>
    </w:p>
    <w:p w14:paraId="6D05CD20" w14:textId="77777777" w:rsidR="006317AD" w:rsidRPr="00EA4541" w:rsidRDefault="006317AD" w:rsidP="006317AD">
      <w:pPr>
        <w:rPr>
          <w:rFonts w:ascii="Calibri" w:eastAsia="Times New Roman" w:hAnsi="Calibri" w:cs="Calibri"/>
          <w:color w:val="000000"/>
        </w:rPr>
      </w:pPr>
      <w:r w:rsidRPr="00EA4541">
        <w:rPr>
          <w:rFonts w:ascii="Calibri" w:eastAsia="Times New Roman" w:hAnsi="Calibri" w:cs="Calibri"/>
          <w:color w:val="000000"/>
        </w:rPr>
        <w:t>TREATMENT AND OUTCOME</w:t>
      </w:r>
    </w:p>
    <w:p w14:paraId="129B27C2" w14:textId="77777777" w:rsidR="006317AD" w:rsidRPr="00EA4541" w:rsidRDefault="006317AD" w:rsidP="006317AD">
      <w:pPr>
        <w:rPr>
          <w:rFonts w:ascii="Calibri" w:eastAsia="Times New Roman" w:hAnsi="Calibri" w:cs="Calibri"/>
          <w:color w:val="000000"/>
        </w:rPr>
      </w:pPr>
      <w:r w:rsidRPr="00EA4541">
        <w:rPr>
          <w:rFonts w:ascii="Calibri" w:eastAsia="Times New Roman" w:hAnsi="Calibri" w:cs="Calibri"/>
          <w:color w:val="000000"/>
        </w:rPr>
        <w:t xml:space="preserve">A series of </w:t>
      </w:r>
      <w:r w:rsidRPr="00EA4541">
        <w:rPr>
          <w:rFonts w:ascii="Calibri" w:eastAsia="Times New Roman" w:hAnsi="Calibri" w:cs="Calibri"/>
          <w:b/>
          <w:bCs/>
          <w:color w:val="000000"/>
        </w:rPr>
        <w:t>thoracentesis</w:t>
      </w:r>
      <w:r w:rsidRPr="00EA4541">
        <w:rPr>
          <w:rFonts w:ascii="Calibri" w:eastAsia="Times New Roman" w:hAnsi="Calibri" w:cs="Calibri"/>
          <w:color w:val="000000"/>
        </w:rPr>
        <w:t xml:space="preserve"> procedures were performed. </w:t>
      </w:r>
      <w:r w:rsidRPr="00EA4541">
        <w:rPr>
          <w:rFonts w:ascii="Calibri" w:eastAsia="Times New Roman" w:hAnsi="Calibri" w:cs="Calibri"/>
          <w:b/>
          <w:bCs/>
          <w:color w:val="000000"/>
        </w:rPr>
        <w:t>Follow-up CT demonstrated marked reduction in pleural effusion with persistence of thoracic duct dilation and mass-like areas of pleural thickening.</w:t>
      </w:r>
      <w:r w:rsidRPr="00EA4541">
        <w:rPr>
          <w:rFonts w:ascii="Calibri" w:eastAsia="Times New Roman" w:hAnsi="Calibri" w:cs="Calibri"/>
          <w:color w:val="000000"/>
        </w:rPr>
        <w:t xml:space="preserve"> Ultrasonographic resolution of pleural effusion occurred 14 months after presentation; however, </w:t>
      </w:r>
      <w:r w:rsidRPr="00EA4541">
        <w:rPr>
          <w:rFonts w:ascii="Calibri" w:eastAsia="Times New Roman" w:hAnsi="Calibri" w:cs="Calibri"/>
          <w:b/>
          <w:bCs/>
          <w:color w:val="000000"/>
        </w:rPr>
        <w:t>recrudescence was noted 5 months later.</w:t>
      </w:r>
      <w:r w:rsidRPr="00EA4541">
        <w:rPr>
          <w:rFonts w:ascii="Calibri" w:eastAsia="Times New Roman" w:hAnsi="Calibri" w:cs="Calibri"/>
          <w:color w:val="000000"/>
        </w:rPr>
        <w:t xml:space="preserve"> Over a total of 24 months, 21.52 L of pleural effusion was removed. Despite the presence of pleural effusion, the patient was </w:t>
      </w:r>
      <w:r w:rsidRPr="00EA4541">
        <w:rPr>
          <w:rFonts w:ascii="Calibri" w:eastAsia="Times New Roman" w:hAnsi="Calibri" w:cs="Calibri"/>
          <w:b/>
          <w:bCs/>
          <w:color w:val="000000"/>
        </w:rPr>
        <w:t>clinically stable</w:t>
      </w:r>
      <w:r w:rsidRPr="00EA4541">
        <w:rPr>
          <w:rFonts w:ascii="Calibri" w:eastAsia="Times New Roman" w:hAnsi="Calibri" w:cs="Calibri"/>
          <w:color w:val="000000"/>
        </w:rPr>
        <w:t xml:space="preserve"> during this time and quality of life was considered good </w:t>
      </w:r>
      <w:proofErr w:type="gramStart"/>
      <w:r w:rsidRPr="00EA4541">
        <w:rPr>
          <w:rFonts w:ascii="Calibri" w:eastAsia="Times New Roman" w:hAnsi="Calibri" w:cs="Calibri"/>
          <w:color w:val="000000"/>
        </w:rPr>
        <w:t>on the basis of</w:t>
      </w:r>
      <w:proofErr w:type="gramEnd"/>
      <w:r w:rsidRPr="00EA4541">
        <w:rPr>
          <w:rFonts w:ascii="Calibri" w:eastAsia="Times New Roman" w:hAnsi="Calibri" w:cs="Calibri"/>
          <w:color w:val="000000"/>
        </w:rPr>
        <w:t xml:space="preserve"> continuous animal welfare evaluations. </w:t>
      </w:r>
      <w:r w:rsidRPr="00EA4541">
        <w:rPr>
          <w:rFonts w:ascii="Calibri" w:eastAsia="Times New Roman" w:hAnsi="Calibri" w:cs="Calibri"/>
          <w:b/>
          <w:bCs/>
          <w:color w:val="000000"/>
        </w:rPr>
        <w:t xml:space="preserve">Humane </w:t>
      </w:r>
      <w:r w:rsidRPr="00EA4541">
        <w:rPr>
          <w:rFonts w:ascii="Calibri" w:eastAsia="Times New Roman" w:hAnsi="Calibri" w:cs="Calibri"/>
          <w:b/>
          <w:bCs/>
          <w:color w:val="000000"/>
        </w:rPr>
        <w:lastRenderedPageBreak/>
        <w:t>euthanasia was elected following acute clinical decline 27 months after initial diagnosis</w:t>
      </w:r>
      <w:r w:rsidRPr="00EA4541">
        <w:rPr>
          <w:rFonts w:ascii="Calibri" w:eastAsia="Times New Roman" w:hAnsi="Calibri" w:cs="Calibri"/>
          <w:color w:val="000000"/>
        </w:rPr>
        <w:t xml:space="preserve">. Necropsy confirmed </w:t>
      </w:r>
      <w:r w:rsidRPr="00EA4541">
        <w:rPr>
          <w:rFonts w:ascii="Calibri" w:eastAsia="Times New Roman" w:hAnsi="Calibri" w:cs="Calibri"/>
          <w:b/>
          <w:bCs/>
          <w:color w:val="000000"/>
        </w:rPr>
        <w:t>severe pleural effusion, chronic severe pleural fibrosis with chronic hemorrhage, and mediastinal fibrosis with entrapped lymph nodes and thymic tissue.</w:t>
      </w:r>
    </w:p>
    <w:p w14:paraId="6550FCF0" w14:textId="77777777" w:rsidR="006317AD" w:rsidRPr="00EA4541" w:rsidRDefault="006317AD" w:rsidP="006317AD">
      <w:pPr>
        <w:rPr>
          <w:rFonts w:ascii="Calibri" w:eastAsia="Times New Roman" w:hAnsi="Calibri" w:cs="Calibri"/>
          <w:color w:val="000000"/>
        </w:rPr>
      </w:pPr>
      <w:r w:rsidRPr="00EA4541">
        <w:rPr>
          <w:rFonts w:ascii="Calibri" w:eastAsia="Times New Roman" w:hAnsi="Calibri" w:cs="Calibri"/>
          <w:color w:val="000000"/>
        </w:rPr>
        <w:t>CLINICAL RELEVANCE</w:t>
      </w:r>
    </w:p>
    <w:p w14:paraId="6F047D9E" w14:textId="77777777" w:rsidR="006317AD" w:rsidRPr="00EA4541" w:rsidRDefault="006317AD" w:rsidP="006317AD">
      <w:pPr>
        <w:rPr>
          <w:rFonts w:ascii="Calibri" w:eastAsia="Times New Roman" w:hAnsi="Calibri" w:cs="Calibri"/>
          <w:color w:val="000000"/>
        </w:rPr>
      </w:pPr>
      <w:r w:rsidRPr="00EA4541">
        <w:rPr>
          <w:rFonts w:ascii="Calibri" w:eastAsia="Times New Roman" w:hAnsi="Calibri" w:cs="Calibri"/>
          <w:b/>
          <w:bCs/>
          <w:color w:val="000000"/>
        </w:rPr>
        <w:t>Pleuritis and effusion were suspected sequelae of previous rib fractures</w:t>
      </w:r>
      <w:r w:rsidRPr="00EA4541">
        <w:rPr>
          <w:rFonts w:ascii="Calibri" w:eastAsia="Times New Roman" w:hAnsi="Calibri" w:cs="Calibri"/>
          <w:color w:val="000000"/>
        </w:rPr>
        <w:t xml:space="preserve">. To our knowledge, this is the first report of </w:t>
      </w:r>
      <w:proofErr w:type="spellStart"/>
      <w:r w:rsidRPr="00EA4541">
        <w:rPr>
          <w:rFonts w:ascii="Calibri" w:eastAsia="Times New Roman" w:hAnsi="Calibri" w:cs="Calibri"/>
          <w:color w:val="000000"/>
        </w:rPr>
        <w:t>nonchylous</w:t>
      </w:r>
      <w:proofErr w:type="spellEnd"/>
      <w:r w:rsidRPr="00EA4541">
        <w:rPr>
          <w:rFonts w:ascii="Calibri" w:eastAsia="Times New Roman" w:hAnsi="Calibri" w:cs="Calibri"/>
          <w:color w:val="000000"/>
        </w:rPr>
        <w:t xml:space="preserve"> lymphatic pleural effusion with repeated pleural drainage and diagnostic imaging for clinical management in a bottlenose dolphin.</w:t>
      </w:r>
    </w:p>
    <w:p w14:paraId="1A540EF6" w14:textId="77777777" w:rsidR="006317AD" w:rsidRPr="001E71A2" w:rsidRDefault="006317AD" w:rsidP="006317AD">
      <w:pPr>
        <w:rPr>
          <w:rFonts w:ascii="Calibri" w:eastAsia="Times New Roman" w:hAnsi="Calibri" w:cs="Calibri"/>
        </w:rPr>
      </w:pPr>
    </w:p>
    <w:p w14:paraId="25CEB0E3" w14:textId="77777777" w:rsidR="006317AD" w:rsidRDefault="006317AD" w:rsidP="006317AD">
      <w:pPr>
        <w:rPr>
          <w:rFonts w:ascii="Calibri" w:eastAsia="Times New Roman" w:hAnsi="Calibri" w:cs="Calibri"/>
          <w:b/>
          <w:bCs/>
          <w:color w:val="000000"/>
        </w:rPr>
      </w:pPr>
      <w:r w:rsidRPr="001E71A2">
        <w:rPr>
          <w:rFonts w:ascii="Calibri" w:eastAsia="Times New Roman" w:hAnsi="Calibri" w:cs="Calibri"/>
          <w:b/>
          <w:bCs/>
          <w:color w:val="000000"/>
        </w:rPr>
        <w:t>Key Points:</w:t>
      </w:r>
    </w:p>
    <w:p w14:paraId="0564ACD1"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Pr>
          <w:rFonts w:ascii="Calibri" w:eastAsia="Times New Roman" w:hAnsi="Calibri" w:cs="Calibri"/>
          <w:color w:val="000000"/>
        </w:rPr>
        <w:t>C</w:t>
      </w:r>
      <w:r w:rsidRPr="007F4D6F">
        <w:rPr>
          <w:rFonts w:ascii="Calibri" w:eastAsia="Times New Roman" w:hAnsi="Calibri" w:cs="Calibri"/>
          <w:color w:val="000000"/>
        </w:rPr>
        <w:t xml:space="preserve">hanges in </w:t>
      </w:r>
      <w:r>
        <w:rPr>
          <w:rFonts w:ascii="Calibri" w:eastAsia="Times New Roman" w:hAnsi="Calibri" w:cs="Calibri"/>
          <w:color w:val="000000"/>
        </w:rPr>
        <w:t>ALP</w:t>
      </w:r>
      <w:r w:rsidRPr="007F4D6F">
        <w:rPr>
          <w:rFonts w:ascii="Calibri" w:eastAsia="Times New Roman" w:hAnsi="Calibri" w:cs="Calibri"/>
          <w:color w:val="000000"/>
        </w:rPr>
        <w:t>, iron, and erythrocyte sedimentation rate are typical for systemic inflammation in marine mammals</w:t>
      </w:r>
    </w:p>
    <w:p w14:paraId="024671D2"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sidRPr="007F4D6F">
        <w:rPr>
          <w:rFonts w:ascii="Calibri" w:eastAsia="Times New Roman" w:hAnsi="Calibri" w:cs="Calibri"/>
          <w:color w:val="000000"/>
        </w:rPr>
        <w:t>Levofloxacin (5 mg/kg</w:t>
      </w:r>
      <w:r>
        <w:rPr>
          <w:rFonts w:ascii="Calibri" w:eastAsia="Times New Roman" w:hAnsi="Calibri" w:cs="Calibri"/>
          <w:color w:val="000000"/>
        </w:rPr>
        <w:t xml:space="preserve"> </w:t>
      </w:r>
      <w:r w:rsidRPr="007F4D6F">
        <w:rPr>
          <w:rFonts w:ascii="Calibri" w:eastAsia="Times New Roman" w:hAnsi="Calibri" w:cs="Calibri"/>
          <w:color w:val="000000"/>
        </w:rPr>
        <w:t>PO q12h), metronidazole (7 mg/kg</w:t>
      </w:r>
      <w:r>
        <w:rPr>
          <w:rFonts w:ascii="Calibri" w:eastAsia="Times New Roman" w:hAnsi="Calibri" w:cs="Calibri"/>
          <w:color w:val="000000"/>
        </w:rPr>
        <w:t xml:space="preserve"> </w:t>
      </w:r>
      <w:r w:rsidRPr="007F4D6F">
        <w:rPr>
          <w:rFonts w:ascii="Calibri" w:eastAsia="Times New Roman" w:hAnsi="Calibri" w:cs="Calibri"/>
          <w:color w:val="000000"/>
        </w:rPr>
        <w:t>PO q12h), vitamin K (0.4 mg/kg PO q24h), nystatin (7,000 IU/kg PO q8h), and bismuth subsalicylate (525 mg total dose</w:t>
      </w:r>
      <w:r>
        <w:rPr>
          <w:rFonts w:ascii="Calibri" w:eastAsia="Times New Roman" w:hAnsi="Calibri" w:cs="Calibri"/>
          <w:color w:val="000000"/>
        </w:rPr>
        <w:t xml:space="preserve"> </w:t>
      </w:r>
      <w:r w:rsidRPr="007F4D6F">
        <w:rPr>
          <w:rFonts w:ascii="Calibri" w:eastAsia="Times New Roman" w:hAnsi="Calibri" w:cs="Calibri"/>
          <w:color w:val="000000"/>
        </w:rPr>
        <w:t>PO q12h) were prescribed empirically</w:t>
      </w:r>
    </w:p>
    <w:p w14:paraId="638938FD"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Pr>
          <w:rFonts w:ascii="Calibri" w:eastAsia="Times New Roman" w:hAnsi="Calibri" w:cs="Calibri"/>
          <w:color w:val="000000"/>
        </w:rPr>
        <w:t xml:space="preserve">Diagnostic thoracocentesis: </w:t>
      </w:r>
      <w:r w:rsidRPr="007F4D6F">
        <w:rPr>
          <w:rFonts w:ascii="Calibri" w:eastAsia="Times New Roman" w:hAnsi="Calibri" w:cs="Calibri"/>
          <w:color w:val="000000"/>
        </w:rPr>
        <w:t>red and cloudy</w:t>
      </w:r>
      <w:r>
        <w:rPr>
          <w:rFonts w:ascii="Calibri" w:eastAsia="Times New Roman" w:hAnsi="Calibri" w:cs="Calibri"/>
          <w:color w:val="000000"/>
        </w:rPr>
        <w:t xml:space="preserve">, </w:t>
      </w:r>
      <w:r w:rsidRPr="007F4D6F">
        <w:rPr>
          <w:rFonts w:ascii="Calibri" w:eastAsia="Times New Roman" w:hAnsi="Calibri" w:cs="Calibri"/>
          <w:color w:val="000000"/>
        </w:rPr>
        <w:t xml:space="preserve">PCV 5%, </w:t>
      </w:r>
      <w:r>
        <w:rPr>
          <w:rFonts w:ascii="Calibri" w:eastAsia="Times New Roman" w:hAnsi="Calibri" w:cs="Calibri"/>
          <w:color w:val="000000"/>
        </w:rPr>
        <w:t>TS</w:t>
      </w:r>
      <w:r w:rsidRPr="007F4D6F">
        <w:rPr>
          <w:rFonts w:ascii="Calibri" w:eastAsia="Times New Roman" w:hAnsi="Calibri" w:cs="Calibri"/>
          <w:color w:val="000000"/>
        </w:rPr>
        <w:t xml:space="preserve"> 6.3 g/dL, </w:t>
      </w:r>
      <w:r>
        <w:rPr>
          <w:rFonts w:ascii="Calibri" w:eastAsia="Times New Roman" w:hAnsi="Calibri" w:cs="Calibri"/>
          <w:color w:val="000000"/>
        </w:rPr>
        <w:t>SG</w:t>
      </w:r>
      <w:r w:rsidRPr="007F4D6F">
        <w:rPr>
          <w:rFonts w:ascii="Calibri" w:eastAsia="Times New Roman" w:hAnsi="Calibri" w:cs="Calibri"/>
          <w:color w:val="000000"/>
        </w:rPr>
        <w:t xml:space="preserve"> 1.036</w:t>
      </w:r>
      <w:r>
        <w:rPr>
          <w:rFonts w:ascii="Calibri" w:eastAsia="Times New Roman" w:hAnsi="Calibri" w:cs="Calibri"/>
          <w:color w:val="000000"/>
        </w:rPr>
        <w:t>. A</w:t>
      </w:r>
      <w:r w:rsidRPr="007F4D6F">
        <w:rPr>
          <w:rFonts w:ascii="Calibri" w:eastAsia="Times New Roman" w:hAnsi="Calibri" w:cs="Calibri"/>
          <w:color w:val="000000"/>
        </w:rPr>
        <w:t xml:space="preserve">bundant RBCs and mononuclear </w:t>
      </w:r>
      <w:r>
        <w:rPr>
          <w:rFonts w:ascii="Calibri" w:eastAsia="Times New Roman" w:hAnsi="Calibri" w:cs="Calibri"/>
          <w:color w:val="000000"/>
        </w:rPr>
        <w:t>cells.</w:t>
      </w:r>
      <w:r w:rsidRPr="007F4D6F">
        <w:rPr>
          <w:rFonts w:ascii="Calibri" w:eastAsia="Times New Roman" w:hAnsi="Calibri" w:cs="Calibri"/>
          <w:color w:val="000000"/>
        </w:rPr>
        <w:t xml:space="preserve"> An unidentified gram-positive</w:t>
      </w:r>
      <w:r>
        <w:rPr>
          <w:rFonts w:ascii="Calibri" w:eastAsia="Times New Roman" w:hAnsi="Calibri" w:cs="Calibri"/>
          <w:color w:val="000000"/>
        </w:rPr>
        <w:t>/</w:t>
      </w:r>
      <w:r w:rsidRPr="007F4D6F">
        <w:rPr>
          <w:rFonts w:ascii="Calibri" w:eastAsia="Times New Roman" w:hAnsi="Calibri" w:cs="Calibri"/>
          <w:color w:val="000000"/>
        </w:rPr>
        <w:t>catalase-positive coccobacillus and </w:t>
      </w:r>
      <w:r w:rsidRPr="007F4D6F">
        <w:rPr>
          <w:rFonts w:ascii="Calibri" w:eastAsia="Times New Roman" w:hAnsi="Calibri" w:cs="Calibri"/>
          <w:i/>
          <w:iCs/>
          <w:color w:val="000000"/>
        </w:rPr>
        <w:t>Staphylococcus capiti</w:t>
      </w:r>
      <w:r>
        <w:rPr>
          <w:rFonts w:ascii="Calibri" w:eastAsia="Times New Roman" w:hAnsi="Calibri" w:cs="Calibri"/>
          <w:i/>
          <w:iCs/>
          <w:color w:val="000000"/>
        </w:rPr>
        <w:t xml:space="preserve">s </w:t>
      </w:r>
      <w:r>
        <w:rPr>
          <w:rFonts w:ascii="Calibri" w:eastAsia="Times New Roman" w:hAnsi="Calibri" w:cs="Calibri"/>
          <w:color w:val="000000"/>
        </w:rPr>
        <w:t xml:space="preserve">identified on culture. </w:t>
      </w:r>
      <w:r w:rsidRPr="007F4D6F">
        <w:rPr>
          <w:rFonts w:ascii="Calibri" w:eastAsia="Times New Roman" w:hAnsi="Calibri" w:cs="Calibri"/>
          <w:color w:val="000000"/>
        </w:rPr>
        <w:t>Doxycycline (1.5 mg/kg PO q12h) was added</w:t>
      </w:r>
      <w:r>
        <w:rPr>
          <w:rFonts w:ascii="Calibri" w:eastAsia="Times New Roman" w:hAnsi="Calibri" w:cs="Calibri"/>
          <w:color w:val="000000"/>
        </w:rPr>
        <w:t>.</w:t>
      </w:r>
    </w:p>
    <w:p w14:paraId="225C287E"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sidRPr="008D39F3">
        <w:rPr>
          <w:rFonts w:ascii="Calibri" w:eastAsia="Times New Roman" w:hAnsi="Calibri" w:cs="Calibri"/>
          <w:color w:val="000000"/>
        </w:rPr>
        <w:t>Throughout treatment, SAA concentration was the only abnormal serum marke</w:t>
      </w:r>
      <w:r>
        <w:rPr>
          <w:rFonts w:ascii="Calibri" w:eastAsia="Times New Roman" w:hAnsi="Calibri" w:cs="Calibri"/>
          <w:color w:val="000000"/>
        </w:rPr>
        <w:t>r,</w:t>
      </w:r>
      <w:r w:rsidRPr="008D39F3">
        <w:rPr>
          <w:rFonts w:ascii="Calibri" w:eastAsia="Times New Roman" w:hAnsi="Calibri" w:cs="Calibri"/>
          <w:color w:val="000000"/>
        </w:rPr>
        <w:t xml:space="preserve"> and concentrations were positively associated with amount of pleural fluid </w:t>
      </w:r>
    </w:p>
    <w:p w14:paraId="448A2771"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sidRPr="008D39F3">
        <w:rPr>
          <w:rFonts w:ascii="Calibri" w:eastAsia="Times New Roman" w:hAnsi="Calibri" w:cs="Calibri"/>
          <w:color w:val="000000"/>
        </w:rPr>
        <w:t>In addition to pleural drainage, levofloxacin, voriconazole</w:t>
      </w:r>
      <w:r>
        <w:rPr>
          <w:rFonts w:ascii="Calibri" w:eastAsia="Times New Roman" w:hAnsi="Calibri" w:cs="Calibri"/>
          <w:color w:val="000000"/>
        </w:rPr>
        <w:t xml:space="preserve"> (</w:t>
      </w:r>
      <w:r w:rsidRPr="008D39F3">
        <w:rPr>
          <w:rFonts w:ascii="Calibri" w:eastAsia="Times New Roman" w:hAnsi="Calibri" w:cs="Calibri"/>
          <w:color w:val="000000"/>
        </w:rPr>
        <w:t>2.5 mg/kg, PO, q 12 h for 3 days, followed by 2.5 mg/kg, PO, q 7 d</w:t>
      </w:r>
      <w:r>
        <w:rPr>
          <w:rFonts w:ascii="Calibri" w:eastAsia="Times New Roman" w:hAnsi="Calibri" w:cs="Calibri"/>
          <w:color w:val="000000"/>
        </w:rPr>
        <w:t>)</w:t>
      </w:r>
      <w:r w:rsidRPr="008D39F3">
        <w:rPr>
          <w:rFonts w:ascii="Calibri" w:eastAsia="Times New Roman" w:hAnsi="Calibri" w:cs="Calibri"/>
          <w:color w:val="000000"/>
        </w:rPr>
        <w:t>, s-adenosylmethionine and silybin (1275 mg/360 mg total dose, PO, q 24 h), and tramadol (0.1 mg/kg, PO, q 12 h) were the mainstay of management until normalization of SAA and absence of pleural fluid 14 months after presentation.</w:t>
      </w:r>
    </w:p>
    <w:p w14:paraId="0317E056"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sidRPr="008D39F3">
        <w:rPr>
          <w:rFonts w:ascii="Calibri" w:eastAsia="Times New Roman" w:hAnsi="Calibri" w:cs="Calibri"/>
          <w:color w:val="000000"/>
        </w:rPr>
        <w:t>Drainage site selection was based on maximum depth of fluid on ultrasound (</w:t>
      </w:r>
      <w:proofErr w:type="spellStart"/>
      <w:r w:rsidRPr="008D39F3">
        <w:rPr>
          <w:rFonts w:ascii="Calibri" w:eastAsia="Times New Roman" w:hAnsi="Calibri" w:cs="Calibri"/>
          <w:color w:val="000000"/>
        </w:rPr>
        <w:t>approx</w:t>
      </w:r>
      <w:proofErr w:type="spellEnd"/>
      <w:r w:rsidRPr="008D39F3">
        <w:rPr>
          <w:rFonts w:ascii="Calibri" w:eastAsia="Times New Roman" w:hAnsi="Calibri" w:cs="Calibri"/>
          <w:color w:val="000000"/>
        </w:rPr>
        <w:t xml:space="preserve"> 20 cm), approximately between the 7th to 9th rib spaces, as for domestic mammals.</w:t>
      </w:r>
    </w:p>
    <w:p w14:paraId="46060541"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Pr>
          <w:rFonts w:ascii="Calibri" w:eastAsia="Times New Roman" w:hAnsi="Calibri" w:cs="Calibri"/>
          <w:color w:val="000000"/>
        </w:rPr>
        <w:t>O</w:t>
      </w:r>
      <w:r w:rsidRPr="00EF36D4">
        <w:rPr>
          <w:rFonts w:ascii="Calibri" w:eastAsia="Times New Roman" w:hAnsi="Calibri" w:cs="Calibri"/>
          <w:color w:val="000000"/>
        </w:rPr>
        <w:t xml:space="preserve">il red O stain (for visualizing lipid) </w:t>
      </w:r>
      <w:r>
        <w:rPr>
          <w:rFonts w:ascii="Calibri" w:eastAsia="Times New Roman" w:hAnsi="Calibri" w:cs="Calibri"/>
          <w:color w:val="000000"/>
        </w:rPr>
        <w:t>revealed</w:t>
      </w:r>
      <w:r w:rsidRPr="00EF36D4">
        <w:rPr>
          <w:rFonts w:ascii="Calibri" w:eastAsia="Times New Roman" w:hAnsi="Calibri" w:cs="Calibri"/>
          <w:color w:val="000000"/>
        </w:rPr>
        <w:t xml:space="preserve"> frequent mononuclear phagocytes </w:t>
      </w:r>
      <w:r>
        <w:rPr>
          <w:rFonts w:ascii="Calibri" w:eastAsia="Times New Roman" w:hAnsi="Calibri" w:cs="Calibri"/>
          <w:color w:val="000000"/>
        </w:rPr>
        <w:t xml:space="preserve">with </w:t>
      </w:r>
      <w:r w:rsidRPr="00EF36D4">
        <w:rPr>
          <w:rFonts w:ascii="Calibri" w:eastAsia="Times New Roman" w:hAnsi="Calibri" w:cs="Calibri"/>
          <w:color w:val="000000"/>
        </w:rPr>
        <w:t>mild diffuse or strong focal positive staining within vacuoles, consistent with phagocytized lipid material</w:t>
      </w:r>
    </w:p>
    <w:p w14:paraId="7004696D"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sidRPr="00EF36D4">
        <w:rPr>
          <w:rFonts w:ascii="Calibri" w:eastAsia="Times New Roman" w:hAnsi="Calibri" w:cs="Calibri"/>
          <w:color w:val="000000"/>
        </w:rPr>
        <w:t xml:space="preserve">Nontargeted semiquantitative </w:t>
      </w:r>
      <w:proofErr w:type="spellStart"/>
      <w:r w:rsidRPr="00EF36D4">
        <w:rPr>
          <w:rFonts w:ascii="Calibri" w:eastAsia="Times New Roman" w:hAnsi="Calibri" w:cs="Calibri"/>
          <w:color w:val="000000"/>
        </w:rPr>
        <w:t>lipidomics</w:t>
      </w:r>
      <w:proofErr w:type="spellEnd"/>
      <w:r w:rsidRPr="00EF36D4">
        <w:rPr>
          <w:rFonts w:ascii="Calibri" w:eastAsia="Times New Roman" w:hAnsi="Calibri" w:cs="Calibri"/>
          <w:color w:val="000000"/>
        </w:rPr>
        <w:t xml:space="preserve"> of serum and thoracic fluid samples </w:t>
      </w:r>
      <w:proofErr w:type="gramStart"/>
      <w:r w:rsidRPr="00EF36D4">
        <w:rPr>
          <w:rFonts w:ascii="Calibri" w:eastAsia="Times New Roman" w:hAnsi="Calibri" w:cs="Calibri"/>
          <w:color w:val="000000"/>
        </w:rPr>
        <w:t>was</w:t>
      </w:r>
      <w:r>
        <w:rPr>
          <w:rFonts w:ascii="Calibri" w:eastAsia="Times New Roman" w:hAnsi="Calibri" w:cs="Calibri"/>
          <w:color w:val="000000"/>
        </w:rPr>
        <w:t>;</w:t>
      </w:r>
      <w:proofErr w:type="gramEnd"/>
      <w:r>
        <w:rPr>
          <w:rFonts w:ascii="Calibri" w:eastAsia="Times New Roman" w:hAnsi="Calibri" w:cs="Calibri"/>
          <w:color w:val="000000"/>
        </w:rPr>
        <w:t xml:space="preserve"> f</w:t>
      </w:r>
      <w:r w:rsidRPr="00EF36D4">
        <w:rPr>
          <w:rFonts w:ascii="Calibri" w:eastAsia="Times New Roman" w:hAnsi="Calibri" w:cs="Calibri"/>
          <w:color w:val="000000"/>
        </w:rPr>
        <w:t>ifteen lipids were found to be significantly increased in patient serum samples, compared with the control samples </w:t>
      </w:r>
    </w:p>
    <w:p w14:paraId="744D7122"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Pr>
          <w:rFonts w:ascii="Calibri" w:eastAsia="Times New Roman" w:hAnsi="Calibri" w:cs="Calibri"/>
          <w:color w:val="000000"/>
        </w:rPr>
        <w:t>CT</w:t>
      </w:r>
      <w:r w:rsidRPr="00EA4541">
        <w:rPr>
          <w:rFonts w:ascii="Calibri" w:eastAsia="Times New Roman" w:hAnsi="Calibri" w:cs="Calibri"/>
          <w:color w:val="000000"/>
        </w:rPr>
        <w:t xml:space="preserve"> identified ipsilateral rib fractures, atelectasis, nodular pleuritis, marginal lymph node enlargement, and suspected dilation of the thoracic duct and internal thoracic veins.</w:t>
      </w:r>
    </w:p>
    <w:p w14:paraId="59FA0CFA"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sidRPr="001D62BE">
        <w:rPr>
          <w:rFonts w:ascii="Calibri" w:eastAsia="Times New Roman" w:hAnsi="Calibri" w:cs="Calibri"/>
          <w:color w:val="000000"/>
        </w:rPr>
        <w:t xml:space="preserve">The animal was humanely euthanized 27 months after presentation, following </w:t>
      </w:r>
      <w:r>
        <w:rPr>
          <w:rFonts w:ascii="Calibri" w:eastAsia="Times New Roman" w:hAnsi="Calibri" w:cs="Calibri"/>
          <w:color w:val="000000"/>
        </w:rPr>
        <w:t xml:space="preserve">development </w:t>
      </w:r>
      <w:r w:rsidRPr="001D62BE">
        <w:rPr>
          <w:rFonts w:ascii="Calibri" w:eastAsia="Times New Roman" w:hAnsi="Calibri" w:cs="Calibri"/>
          <w:color w:val="000000"/>
        </w:rPr>
        <w:t>of pericardial effusion</w:t>
      </w:r>
      <w:r>
        <w:rPr>
          <w:rFonts w:ascii="Calibri" w:eastAsia="Times New Roman" w:hAnsi="Calibri" w:cs="Calibri"/>
          <w:color w:val="000000"/>
        </w:rPr>
        <w:t xml:space="preserve"> and acute clinical decline </w:t>
      </w:r>
    </w:p>
    <w:p w14:paraId="68D0B4C0"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sidRPr="001D62BE">
        <w:rPr>
          <w:rFonts w:ascii="Calibri" w:eastAsia="Times New Roman" w:hAnsi="Calibri" w:cs="Calibri"/>
          <w:color w:val="000000"/>
        </w:rPr>
        <w:t>Necropsy revealed healed mid-diaphyseal fractures of the fourth and fifth ribs</w:t>
      </w:r>
      <w:r>
        <w:rPr>
          <w:rFonts w:ascii="Calibri" w:eastAsia="Times New Roman" w:hAnsi="Calibri" w:cs="Calibri"/>
          <w:color w:val="000000"/>
        </w:rPr>
        <w:t xml:space="preserve">. </w:t>
      </w:r>
      <w:r w:rsidRPr="001D62BE">
        <w:rPr>
          <w:rFonts w:ascii="Calibri" w:eastAsia="Times New Roman" w:hAnsi="Calibri" w:cs="Calibri"/>
          <w:color w:val="000000"/>
        </w:rPr>
        <w:t>Final diagnoses were cranial mediastinal and pleural fibrosis with chronic hemorrhage and left pleural effusion, slight multifocal neutrophilic and histiocytic pneumonia of the left lung, chronic passive hepatic congestion with mild multifocal acute centrilobular necrosis, and incidental mitral valve blood cysts.</w:t>
      </w:r>
    </w:p>
    <w:p w14:paraId="29B3131A"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proofErr w:type="spellStart"/>
      <w:r w:rsidRPr="001D62BE">
        <w:rPr>
          <w:rFonts w:ascii="Calibri" w:eastAsia="Times New Roman" w:hAnsi="Calibri" w:cs="Calibri"/>
          <w:color w:val="000000"/>
        </w:rPr>
        <w:t>Nonchylous</w:t>
      </w:r>
      <w:proofErr w:type="spellEnd"/>
      <w:r w:rsidRPr="001D62BE">
        <w:rPr>
          <w:rFonts w:ascii="Calibri" w:eastAsia="Times New Roman" w:hAnsi="Calibri" w:cs="Calibri"/>
          <w:color w:val="000000"/>
        </w:rPr>
        <w:t xml:space="preserve"> effusions are characterized by increased cholesterol (&gt; 200 mg/dL) relative to triglycerides (typically &lt; 100 mg/dL) with a ratio of cholesterol to triglycerides &gt; 1. Unlike chylothorax, </w:t>
      </w:r>
      <w:proofErr w:type="spellStart"/>
      <w:r w:rsidRPr="001D62BE">
        <w:rPr>
          <w:rFonts w:ascii="Calibri" w:eastAsia="Times New Roman" w:hAnsi="Calibri" w:cs="Calibri"/>
          <w:color w:val="000000"/>
        </w:rPr>
        <w:t>nonchylous</w:t>
      </w:r>
      <w:proofErr w:type="spellEnd"/>
      <w:r w:rsidRPr="001D62BE">
        <w:rPr>
          <w:rFonts w:ascii="Calibri" w:eastAsia="Times New Roman" w:hAnsi="Calibri" w:cs="Calibri"/>
          <w:color w:val="000000"/>
        </w:rPr>
        <w:t xml:space="preserve"> effusions do not result from thoracic duct leakage and are often unilateral. They are associated with chronic pleurisy</w:t>
      </w:r>
      <w:r>
        <w:rPr>
          <w:rFonts w:ascii="Calibri" w:eastAsia="Times New Roman" w:hAnsi="Calibri" w:cs="Calibri"/>
          <w:color w:val="000000"/>
        </w:rPr>
        <w:t>.</w:t>
      </w:r>
    </w:p>
    <w:p w14:paraId="55F08EC1" w14:textId="77777777" w:rsidR="006317AD" w:rsidRDefault="006317AD" w:rsidP="006317AD">
      <w:pPr>
        <w:numPr>
          <w:ilvl w:val="0"/>
          <w:numId w:val="2"/>
        </w:numPr>
        <w:spacing w:line="240" w:lineRule="auto"/>
        <w:textAlignment w:val="baseline"/>
        <w:rPr>
          <w:rFonts w:ascii="Calibri" w:eastAsia="Times New Roman" w:hAnsi="Calibri" w:cs="Calibri"/>
          <w:color w:val="000000"/>
        </w:rPr>
      </w:pPr>
      <w:r>
        <w:rPr>
          <w:rFonts w:ascii="Calibri" w:eastAsia="Times New Roman" w:hAnsi="Calibri" w:cs="Calibri"/>
          <w:color w:val="000000"/>
        </w:rPr>
        <w:t>P</w:t>
      </w:r>
      <w:r w:rsidRPr="00244423">
        <w:rPr>
          <w:rFonts w:ascii="Calibri" w:eastAsia="Times New Roman" w:hAnsi="Calibri" w:cs="Calibri"/>
          <w:color w:val="000000"/>
        </w:rPr>
        <w:t xml:space="preserve">athogenesis of </w:t>
      </w:r>
      <w:proofErr w:type="spellStart"/>
      <w:r w:rsidRPr="00244423">
        <w:rPr>
          <w:rFonts w:ascii="Calibri" w:eastAsia="Times New Roman" w:hAnsi="Calibri" w:cs="Calibri"/>
          <w:color w:val="000000"/>
        </w:rPr>
        <w:t>nonchylous</w:t>
      </w:r>
      <w:proofErr w:type="spellEnd"/>
      <w:r w:rsidRPr="00244423">
        <w:rPr>
          <w:rFonts w:ascii="Calibri" w:eastAsia="Times New Roman" w:hAnsi="Calibri" w:cs="Calibri"/>
          <w:color w:val="000000"/>
        </w:rPr>
        <w:t xml:space="preserve"> effusions is not fully understood; it is generally accepted that the cholesterol originates from cellular degradation, becomes trapped in the pleural space due to poor reabsorption </w:t>
      </w:r>
      <w:proofErr w:type="gramStart"/>
      <w:r w:rsidRPr="00244423">
        <w:rPr>
          <w:rFonts w:ascii="Calibri" w:eastAsia="Times New Roman" w:hAnsi="Calibri" w:cs="Calibri"/>
          <w:color w:val="000000"/>
        </w:rPr>
        <w:t>as a result of</w:t>
      </w:r>
      <w:proofErr w:type="gramEnd"/>
      <w:r w:rsidRPr="00244423">
        <w:rPr>
          <w:rFonts w:ascii="Calibri" w:eastAsia="Times New Roman" w:hAnsi="Calibri" w:cs="Calibri"/>
          <w:color w:val="000000"/>
        </w:rPr>
        <w:t xml:space="preserve"> a chronically thickened pleura, and undergoes a change in </w:t>
      </w:r>
      <w:r w:rsidRPr="00244423">
        <w:rPr>
          <w:rFonts w:ascii="Calibri" w:eastAsia="Times New Roman" w:hAnsi="Calibri" w:cs="Calibri"/>
          <w:color w:val="000000"/>
        </w:rPr>
        <w:lastRenderedPageBreak/>
        <w:t>lipoprotein binding characteristics</w:t>
      </w:r>
      <w:r>
        <w:rPr>
          <w:rFonts w:ascii="Calibri" w:eastAsia="Times New Roman" w:hAnsi="Calibri" w:cs="Calibri"/>
          <w:color w:val="000000"/>
        </w:rPr>
        <w:t xml:space="preserve">. </w:t>
      </w:r>
      <w:proofErr w:type="spellStart"/>
      <w:r w:rsidRPr="00244423">
        <w:rPr>
          <w:rFonts w:ascii="Calibri" w:eastAsia="Times New Roman" w:hAnsi="Calibri" w:cs="Calibri"/>
          <w:color w:val="000000"/>
        </w:rPr>
        <w:t>Nonchylous</w:t>
      </w:r>
      <w:proofErr w:type="spellEnd"/>
      <w:r w:rsidRPr="00244423">
        <w:rPr>
          <w:rFonts w:ascii="Calibri" w:eastAsia="Times New Roman" w:hAnsi="Calibri" w:cs="Calibri"/>
          <w:color w:val="000000"/>
        </w:rPr>
        <w:t xml:space="preserve"> lymphatic effusions may result from damaged lymphatic vessels that are not located in the drainage path from intestines to the thoracic duct and therefore do not contain chyle or chylomicrons.</w:t>
      </w:r>
    </w:p>
    <w:p w14:paraId="08A178CE" w14:textId="77777777" w:rsidR="006317AD" w:rsidRPr="00EA4541" w:rsidRDefault="006317AD" w:rsidP="006317AD">
      <w:pPr>
        <w:numPr>
          <w:ilvl w:val="0"/>
          <w:numId w:val="2"/>
        </w:numPr>
        <w:spacing w:line="240" w:lineRule="auto"/>
        <w:textAlignment w:val="baseline"/>
        <w:rPr>
          <w:rFonts w:ascii="Calibri" w:eastAsia="Times New Roman" w:hAnsi="Calibri" w:cs="Calibri"/>
          <w:color w:val="000000"/>
        </w:rPr>
      </w:pPr>
      <w:r>
        <w:rPr>
          <w:rFonts w:ascii="Calibri" w:eastAsia="Times New Roman" w:hAnsi="Calibri" w:cs="Calibri"/>
          <w:color w:val="000000"/>
        </w:rPr>
        <w:t>Suspected that pleural effusion reoccurred due to</w:t>
      </w:r>
      <w:r w:rsidRPr="00244423">
        <w:rPr>
          <w:rFonts w:ascii="Calibri" w:eastAsia="Times New Roman" w:hAnsi="Calibri" w:cs="Calibri"/>
          <w:color w:val="000000"/>
        </w:rPr>
        <w:t xml:space="preserve"> severity of pleural fibrosis result</w:t>
      </w:r>
      <w:r>
        <w:rPr>
          <w:rFonts w:ascii="Calibri" w:eastAsia="Times New Roman" w:hAnsi="Calibri" w:cs="Calibri"/>
          <w:color w:val="000000"/>
        </w:rPr>
        <w:t>ing</w:t>
      </w:r>
      <w:r w:rsidRPr="00244423">
        <w:rPr>
          <w:rFonts w:ascii="Calibri" w:eastAsia="Times New Roman" w:hAnsi="Calibri" w:cs="Calibri"/>
          <w:color w:val="000000"/>
        </w:rPr>
        <w:t xml:space="preserve"> in impaired lymphatic and venous return.</w:t>
      </w:r>
    </w:p>
    <w:p w14:paraId="35A41F86" w14:textId="77777777" w:rsidR="006317AD" w:rsidRDefault="006317AD" w:rsidP="006317AD">
      <w:pPr>
        <w:ind w:left="720"/>
        <w:textAlignment w:val="baseline"/>
        <w:rPr>
          <w:rFonts w:ascii="Calibri" w:eastAsia="Times New Roman" w:hAnsi="Calibri" w:cs="Calibri"/>
          <w:color w:val="000000"/>
        </w:rPr>
      </w:pPr>
    </w:p>
    <w:p w14:paraId="745A235B" w14:textId="77777777" w:rsidR="006317AD" w:rsidRPr="00547415" w:rsidRDefault="006317AD" w:rsidP="006317AD">
      <w:pPr>
        <w:rPr>
          <w:rFonts w:ascii="Times New Roman" w:eastAsia="Times New Roman" w:hAnsi="Times New Roman" w:cs="Times New Roman"/>
        </w:rPr>
      </w:pPr>
      <w:r w:rsidRPr="00547415">
        <w:rPr>
          <w:rFonts w:ascii="Calibri" w:eastAsia="Times New Roman" w:hAnsi="Calibri" w:cs="Calibri"/>
          <w:b/>
          <w:bCs/>
          <w:color w:val="000000"/>
        </w:rPr>
        <w:t>Take-Home Message:</w:t>
      </w:r>
    </w:p>
    <w:p w14:paraId="410B456E" w14:textId="77777777" w:rsidR="006317AD" w:rsidRPr="00EA4541" w:rsidRDefault="006317AD" w:rsidP="006317AD">
      <w:pPr>
        <w:pStyle w:val="ListParagraph"/>
        <w:numPr>
          <w:ilvl w:val="0"/>
          <w:numId w:val="2"/>
        </w:numPr>
        <w:textAlignment w:val="baseline"/>
        <w:rPr>
          <w:rFonts w:ascii="Calibri" w:eastAsia="Times New Roman" w:hAnsi="Calibri" w:cs="Calibri"/>
          <w:color w:val="000000"/>
          <w:sz w:val="22"/>
          <w:szCs w:val="22"/>
        </w:rPr>
      </w:pPr>
      <w:r w:rsidRPr="00EA4541">
        <w:rPr>
          <w:rFonts w:ascii="Calibri" w:eastAsia="Times New Roman" w:hAnsi="Calibri" w:cs="Calibri"/>
          <w:color w:val="000000"/>
          <w:sz w:val="22"/>
          <w:szCs w:val="22"/>
        </w:rPr>
        <w:t xml:space="preserve">Pleuritis and effusion were suspected sequelae of previous rib fractures. </w:t>
      </w:r>
      <w:r>
        <w:rPr>
          <w:rFonts w:ascii="Calibri" w:eastAsia="Times New Roman" w:hAnsi="Calibri" w:cs="Calibri"/>
          <w:color w:val="000000"/>
          <w:sz w:val="22"/>
          <w:szCs w:val="22"/>
        </w:rPr>
        <w:t>T</w:t>
      </w:r>
      <w:r w:rsidRPr="00EA4541">
        <w:rPr>
          <w:rFonts w:ascii="Calibri" w:eastAsia="Times New Roman" w:hAnsi="Calibri" w:cs="Calibri"/>
          <w:color w:val="000000"/>
          <w:sz w:val="22"/>
          <w:szCs w:val="22"/>
        </w:rPr>
        <w:t xml:space="preserve">his is the first report of </w:t>
      </w:r>
      <w:proofErr w:type="spellStart"/>
      <w:r w:rsidRPr="00EA4541">
        <w:rPr>
          <w:rFonts w:ascii="Calibri" w:eastAsia="Times New Roman" w:hAnsi="Calibri" w:cs="Calibri"/>
          <w:color w:val="000000"/>
          <w:sz w:val="22"/>
          <w:szCs w:val="22"/>
        </w:rPr>
        <w:t>nonchylous</w:t>
      </w:r>
      <w:proofErr w:type="spellEnd"/>
      <w:r w:rsidRPr="00EA4541">
        <w:rPr>
          <w:rFonts w:ascii="Calibri" w:eastAsia="Times New Roman" w:hAnsi="Calibri" w:cs="Calibri"/>
          <w:color w:val="000000"/>
          <w:sz w:val="22"/>
          <w:szCs w:val="22"/>
        </w:rPr>
        <w:t xml:space="preserve"> lymphatic pleural effusion with repeated pleural drainage and diagnostic imaging for clinical management in a bottlenose dolphin.</w:t>
      </w:r>
    </w:p>
    <w:p w14:paraId="01DF3A1F" w14:textId="77777777" w:rsidR="006317AD" w:rsidRDefault="006317AD" w:rsidP="006317AD">
      <w:r w:rsidRPr="02B6F730">
        <w:rPr>
          <w:b/>
          <w:bCs/>
        </w:rPr>
        <w:t>Respiratory changes in stranded Bottlenose dolphins (</w:t>
      </w:r>
      <w:r w:rsidRPr="02B6F730">
        <w:rPr>
          <w:b/>
          <w:bCs/>
          <w:i/>
          <w:iCs/>
        </w:rPr>
        <w:t xml:space="preserve">Tursiops </w:t>
      </w:r>
      <w:proofErr w:type="spellStart"/>
      <w:r w:rsidRPr="02B6F730">
        <w:rPr>
          <w:b/>
          <w:bCs/>
          <w:i/>
          <w:iCs/>
        </w:rPr>
        <w:t>truncatus</w:t>
      </w:r>
      <w:proofErr w:type="spellEnd"/>
      <w:r w:rsidRPr="02B6F730">
        <w:rPr>
          <w:b/>
          <w:bCs/>
        </w:rPr>
        <w:t xml:space="preserve">). </w:t>
      </w:r>
      <w:r>
        <w:t>Journal of Zoo and Wildlife Medicine. 52.1. (2021): 49-56.</w:t>
      </w:r>
    </w:p>
    <w:p w14:paraId="6BC5730D" w14:textId="77777777" w:rsidR="006317AD" w:rsidRDefault="006317AD" w:rsidP="006317AD">
      <w:pPr>
        <w:spacing w:before="240" w:after="240" w:line="240" w:lineRule="auto"/>
      </w:pPr>
      <w:r w:rsidRPr="02B6F730">
        <w:rPr>
          <w:b/>
          <w:bCs/>
          <w:u w:val="single"/>
        </w:rPr>
        <w:t>Abstract:</w:t>
      </w:r>
      <w:r w:rsidRPr="02B6F730">
        <w:rPr>
          <w:rFonts w:ascii="Calibri" w:eastAsia="Calibri" w:hAnsi="Calibri" w:cs="Calibri"/>
          <w:color w:val="000000" w:themeColor="text1"/>
        </w:rPr>
        <w:t xml:space="preserve"> </w:t>
      </w:r>
      <w:r w:rsidRPr="02B6F730">
        <w:rPr>
          <w:rFonts w:ascii="Calibri" w:eastAsia="Calibri" w:hAnsi="Calibri" w:cs="Calibri"/>
          <w:b/>
          <w:bCs/>
          <w:color w:val="000000" w:themeColor="text1"/>
        </w:rPr>
        <w:t>Lung function (breath duration, respiratory flow [V</w:t>
      </w:r>
      <w:r w:rsidRPr="02B6F730">
        <w:rPr>
          <w:rFonts w:ascii="Calibri" w:eastAsia="Calibri" w:hAnsi="Calibri" w:cs="Calibri"/>
          <w:b/>
          <w:bCs/>
          <w:color w:val="000000" w:themeColor="text1"/>
          <w:vertAlign w:val="superscript"/>
        </w:rPr>
        <w:t xml:space="preserve"> ̇</w:t>
      </w:r>
      <w:r w:rsidRPr="02B6F730">
        <w:rPr>
          <w:rFonts w:ascii="Calibri" w:eastAsia="Calibri" w:hAnsi="Calibri" w:cs="Calibri"/>
          <w:b/>
          <w:bCs/>
          <w:color w:val="000000" w:themeColor="text1"/>
        </w:rPr>
        <w:t>], and tidal volume [V</w:t>
      </w:r>
      <w:r w:rsidRPr="02B6F730">
        <w:rPr>
          <w:rFonts w:ascii="Calibri" w:eastAsia="Calibri" w:hAnsi="Calibri" w:cs="Calibri"/>
          <w:b/>
          <w:bCs/>
          <w:color w:val="000000" w:themeColor="text1"/>
          <w:vertAlign w:val="subscript"/>
        </w:rPr>
        <w:t>T</w:t>
      </w:r>
      <w:r w:rsidRPr="02B6F730">
        <w:rPr>
          <w:rFonts w:ascii="Calibri" w:eastAsia="Calibri" w:hAnsi="Calibri" w:cs="Calibri"/>
          <w:b/>
          <w:bCs/>
          <w:color w:val="000000" w:themeColor="text1"/>
        </w:rPr>
        <w:t xml:space="preserve">]), and </w:t>
      </w:r>
      <w:proofErr w:type="gramStart"/>
      <w:r w:rsidRPr="02B6F730">
        <w:rPr>
          <w:rFonts w:ascii="Calibri" w:eastAsia="Calibri" w:hAnsi="Calibri" w:cs="Calibri"/>
          <w:b/>
          <w:bCs/>
          <w:color w:val="000000" w:themeColor="text1"/>
        </w:rPr>
        <w:t>end-expiratory</w:t>
      </w:r>
      <w:proofErr w:type="gramEnd"/>
      <w:r w:rsidRPr="02B6F730">
        <w:rPr>
          <w:rFonts w:ascii="Calibri" w:eastAsia="Calibri" w:hAnsi="Calibri" w:cs="Calibri"/>
          <w:b/>
          <w:bCs/>
          <w:color w:val="000000" w:themeColor="text1"/>
        </w:rPr>
        <w:t xml:space="preserve"> O</w:t>
      </w:r>
      <w:r w:rsidRPr="02B6F730">
        <w:rPr>
          <w:rFonts w:ascii="Calibri" w:eastAsia="Calibri" w:hAnsi="Calibri" w:cs="Calibri"/>
          <w:b/>
          <w:bCs/>
          <w:color w:val="000000" w:themeColor="text1"/>
          <w:vertAlign w:val="subscript"/>
        </w:rPr>
        <w:t xml:space="preserve">2 </w:t>
      </w:r>
      <w:r w:rsidRPr="02B6F730">
        <w:rPr>
          <w:rFonts w:ascii="Calibri" w:eastAsia="Calibri" w:hAnsi="Calibri" w:cs="Calibri"/>
          <w:b/>
          <w:bCs/>
          <w:color w:val="000000" w:themeColor="text1"/>
        </w:rPr>
        <w:t>were measured in 19 adult bottlenose dolphins (</w:t>
      </w:r>
      <w:r w:rsidRPr="02B6F730">
        <w:rPr>
          <w:rFonts w:ascii="Calibri" w:eastAsia="Calibri" w:hAnsi="Calibri" w:cs="Calibri"/>
          <w:b/>
          <w:bCs/>
          <w:i/>
          <w:iCs/>
          <w:color w:val="000000" w:themeColor="text1"/>
        </w:rPr>
        <w:t>Tursiops</w:t>
      </w:r>
      <w:r w:rsidRPr="02B6F730">
        <w:rPr>
          <w:rFonts w:ascii="Calibri" w:eastAsia="Calibri" w:hAnsi="Calibri" w:cs="Calibri"/>
          <w:b/>
          <w:bCs/>
          <w:color w:val="000000" w:themeColor="text1"/>
        </w:rPr>
        <w:t xml:space="preserve"> spp.) while at rest in water or beached for up to 10 min. </w:t>
      </w:r>
      <w:r w:rsidRPr="02B6F730">
        <w:rPr>
          <w:rFonts w:ascii="Calibri" w:eastAsia="Calibri" w:hAnsi="Calibri" w:cs="Calibri"/>
          <w:color w:val="000000" w:themeColor="text1"/>
        </w:rPr>
        <w:t>The results show that inspiratory V</w:t>
      </w:r>
      <w:r w:rsidRPr="02B6F730">
        <w:rPr>
          <w:rFonts w:ascii="Calibri" w:eastAsia="Calibri" w:hAnsi="Calibri" w:cs="Calibri"/>
          <w:color w:val="000000" w:themeColor="text1"/>
          <w:vertAlign w:val="subscript"/>
        </w:rPr>
        <w:t>T</w:t>
      </w:r>
      <w:r w:rsidRPr="02B6F730">
        <w:rPr>
          <w:rFonts w:ascii="Calibri" w:eastAsia="Calibri" w:hAnsi="Calibri" w:cs="Calibri"/>
          <w:color w:val="000000" w:themeColor="text1"/>
        </w:rPr>
        <w:t>, expiratory V</w:t>
      </w:r>
      <w:r w:rsidRPr="02B6F730">
        <w:rPr>
          <w:rFonts w:ascii="Calibri" w:eastAsia="Calibri" w:hAnsi="Calibri" w:cs="Calibri"/>
          <w:color w:val="000000" w:themeColor="text1"/>
          <w:vertAlign w:val="subscript"/>
        </w:rPr>
        <w:t>T</w:t>
      </w:r>
      <w:r w:rsidRPr="02B6F730">
        <w:rPr>
          <w:rFonts w:ascii="Calibri" w:eastAsia="Calibri" w:hAnsi="Calibri" w:cs="Calibri"/>
          <w:color w:val="000000" w:themeColor="text1"/>
        </w:rPr>
        <w:t>, or inspiratory V</w:t>
      </w:r>
      <w:r w:rsidRPr="02B6F730">
        <w:rPr>
          <w:rFonts w:ascii="Calibri" w:eastAsia="Calibri" w:hAnsi="Calibri" w:cs="Calibri"/>
          <w:color w:val="000000" w:themeColor="text1"/>
          <w:vertAlign w:val="superscript"/>
        </w:rPr>
        <w:t xml:space="preserve"> ̇ </w:t>
      </w:r>
      <w:r w:rsidRPr="02B6F730">
        <w:rPr>
          <w:rFonts w:ascii="Calibri" w:eastAsia="Calibri" w:hAnsi="Calibri" w:cs="Calibri"/>
          <w:color w:val="000000" w:themeColor="text1"/>
        </w:rPr>
        <w:t>did not differ on land or in water. The average expiratory V</w:t>
      </w:r>
      <w:r w:rsidRPr="02B6F730">
        <w:rPr>
          <w:rFonts w:ascii="Calibri" w:eastAsia="Calibri" w:hAnsi="Calibri" w:cs="Calibri"/>
          <w:color w:val="000000" w:themeColor="text1"/>
          <w:vertAlign w:val="superscript"/>
        </w:rPr>
        <w:t xml:space="preserve"> ̇ </w:t>
      </w:r>
      <w:r w:rsidRPr="02B6F730">
        <w:rPr>
          <w:rFonts w:ascii="Calibri" w:eastAsia="Calibri" w:hAnsi="Calibri" w:cs="Calibri"/>
          <w:color w:val="000000" w:themeColor="text1"/>
        </w:rPr>
        <w:t>for all dolphins on land decreased by 16%, and the expiratory and total breath durations increased by 5% and 4%, respectively, compared with in water. There were temporal changes observed during beaching, where expired and inspired V</w:t>
      </w:r>
      <w:r w:rsidRPr="02B6F730">
        <w:rPr>
          <w:rFonts w:ascii="Calibri" w:eastAsia="Calibri" w:hAnsi="Calibri" w:cs="Calibri"/>
          <w:color w:val="000000" w:themeColor="text1"/>
          <w:vertAlign w:val="subscript"/>
        </w:rPr>
        <w:t xml:space="preserve">T </w:t>
      </w:r>
      <w:r w:rsidRPr="02B6F730">
        <w:rPr>
          <w:rFonts w:ascii="Calibri" w:eastAsia="Calibri" w:hAnsi="Calibri" w:cs="Calibri"/>
          <w:color w:val="000000" w:themeColor="text1"/>
        </w:rPr>
        <w:t>and inspired V</w:t>
      </w:r>
      <w:r w:rsidRPr="02B6F730">
        <w:rPr>
          <w:rFonts w:ascii="Calibri" w:eastAsia="Calibri" w:hAnsi="Calibri" w:cs="Calibri"/>
          <w:color w:val="000000" w:themeColor="text1"/>
          <w:vertAlign w:val="superscript"/>
        </w:rPr>
        <w:t xml:space="preserve"> ̇ </w:t>
      </w:r>
      <w:r w:rsidRPr="02B6F730">
        <w:rPr>
          <w:rFonts w:ascii="Calibri" w:eastAsia="Calibri" w:hAnsi="Calibri" w:cs="Calibri"/>
          <w:color w:val="000000" w:themeColor="text1"/>
        </w:rPr>
        <w:t xml:space="preserve">decreased by 13%, 16%, and 9%, respectively, after 10 min on land. </w:t>
      </w:r>
      <w:r w:rsidRPr="02B6F730">
        <w:rPr>
          <w:rFonts w:ascii="Calibri" w:eastAsia="Calibri" w:hAnsi="Calibri" w:cs="Calibri"/>
          <w:b/>
          <w:bCs/>
          <w:color w:val="000000" w:themeColor="text1"/>
        </w:rPr>
        <w:t>These data suggest that dolphins compensate for the effect of gravity by adjusting respiration to maintain alveolar ventilation and gas exchange, but during extended durations, the increased work of breathing may impede ventilation and gas exchange.</w:t>
      </w:r>
      <w:r w:rsidRPr="02B6F730">
        <w:rPr>
          <w:rFonts w:ascii="Calibri" w:eastAsia="Calibri" w:hAnsi="Calibri" w:cs="Calibri"/>
          <w:color w:val="000000" w:themeColor="text1"/>
        </w:rPr>
        <w:t xml:space="preserve"> Continuous monitoring of lung function and gas exchange may help prevent long-term damage during out-of-water medical procedures, optimize animal transport conditions, and improve survival during stranding events.</w:t>
      </w:r>
    </w:p>
    <w:p w14:paraId="10DBB7FB" w14:textId="77777777" w:rsidR="006317AD" w:rsidRDefault="006317AD" w:rsidP="006317AD">
      <w:r>
        <w:t>Key Points:</w:t>
      </w:r>
    </w:p>
    <w:p w14:paraId="582DE522" w14:textId="77777777" w:rsidR="006317AD" w:rsidRDefault="006317AD" w:rsidP="006317AD">
      <w:pPr>
        <w:pStyle w:val="ListParagraph"/>
        <w:numPr>
          <w:ilvl w:val="0"/>
          <w:numId w:val="5"/>
        </w:numPr>
        <w:spacing w:after="160" w:line="259" w:lineRule="auto"/>
      </w:pPr>
      <w:r>
        <w:t xml:space="preserve">Cetacean stranding-associated health issues = hyperthermia, dehydration, suffocation, hypoxia, severe abrasions, sunburn, cardiomyopathies, or skeletal muscle myopathies </w:t>
      </w:r>
    </w:p>
    <w:p w14:paraId="73BC3818" w14:textId="77777777" w:rsidR="006317AD" w:rsidRDefault="006317AD" w:rsidP="006317AD">
      <w:pPr>
        <w:pStyle w:val="ListParagraph"/>
        <w:numPr>
          <w:ilvl w:val="0"/>
          <w:numId w:val="5"/>
        </w:numPr>
        <w:spacing w:after="160" w:line="259" w:lineRule="auto"/>
      </w:pPr>
      <w:r>
        <w:t>Respiratory disease identified in ~20% of stranded dolphins</w:t>
      </w:r>
    </w:p>
    <w:p w14:paraId="16C0DC65" w14:textId="77777777" w:rsidR="006317AD" w:rsidRDefault="006317AD" w:rsidP="006317AD">
      <w:pPr>
        <w:pStyle w:val="ListParagraph"/>
        <w:numPr>
          <w:ilvl w:val="0"/>
          <w:numId w:val="5"/>
        </w:numPr>
        <w:spacing w:after="160" w:line="259" w:lineRule="auto"/>
      </w:pPr>
      <w:r>
        <w:t>Lung function testing (spirometry) can be an effective diagnostic tool for assessing stranded cetaceans, transported cetaceans, or during medical interventions</w:t>
      </w:r>
    </w:p>
    <w:p w14:paraId="7FD3C2EA" w14:textId="77777777" w:rsidR="006317AD" w:rsidRDefault="006317AD" w:rsidP="006317AD">
      <w:pPr>
        <w:pStyle w:val="ListParagraph"/>
        <w:numPr>
          <w:ilvl w:val="0"/>
          <w:numId w:val="5"/>
        </w:numPr>
        <w:spacing w:after="160" w:line="259" w:lineRule="auto"/>
      </w:pPr>
      <w:r>
        <w:t>Respiratory Cycle in dolphins</w:t>
      </w:r>
    </w:p>
    <w:p w14:paraId="79E97BFF" w14:textId="77777777" w:rsidR="006317AD" w:rsidRDefault="006317AD" w:rsidP="006317AD">
      <w:pPr>
        <w:pStyle w:val="ListParagraph"/>
        <w:numPr>
          <w:ilvl w:val="1"/>
          <w:numId w:val="5"/>
        </w:numPr>
        <w:spacing w:after="160" w:line="259" w:lineRule="auto"/>
      </w:pPr>
      <w:r>
        <w:t>Expiration, followed immediately by Inspiration, then respiratory pause</w:t>
      </w:r>
    </w:p>
    <w:p w14:paraId="0D46E28C" w14:textId="77777777" w:rsidR="006317AD" w:rsidRDefault="006317AD" w:rsidP="006317AD">
      <w:pPr>
        <w:pStyle w:val="ListParagraph"/>
        <w:numPr>
          <w:ilvl w:val="1"/>
          <w:numId w:val="5"/>
        </w:numPr>
        <w:spacing w:after="160" w:line="259" w:lineRule="auto"/>
      </w:pPr>
      <w:r>
        <w:t>Active recoil of chest responsible for emptying lungs</w:t>
      </w:r>
    </w:p>
    <w:p w14:paraId="736DC08A" w14:textId="77777777" w:rsidR="006317AD" w:rsidRDefault="006317AD" w:rsidP="006317AD">
      <w:pPr>
        <w:pStyle w:val="ListParagraph"/>
        <w:numPr>
          <w:ilvl w:val="1"/>
          <w:numId w:val="5"/>
        </w:numPr>
        <w:spacing w:after="160" w:line="259" w:lineRule="auto"/>
      </w:pPr>
      <w:r>
        <w:t>Expiration = Passive</w:t>
      </w:r>
    </w:p>
    <w:p w14:paraId="54806A5D" w14:textId="77777777" w:rsidR="006317AD" w:rsidRDefault="006317AD" w:rsidP="006317AD">
      <w:pPr>
        <w:pStyle w:val="ListParagraph"/>
        <w:numPr>
          <w:ilvl w:val="1"/>
          <w:numId w:val="5"/>
        </w:numPr>
        <w:spacing w:after="160" w:line="259" w:lineRule="auto"/>
      </w:pPr>
      <w:r>
        <w:t>Inspiration = Active, requires additional force to lift body against gravity to fill lungs</w:t>
      </w:r>
    </w:p>
    <w:p w14:paraId="5D7D51EB" w14:textId="77777777" w:rsidR="006317AD" w:rsidRDefault="006317AD" w:rsidP="006317AD">
      <w:pPr>
        <w:pStyle w:val="ListParagraph"/>
        <w:numPr>
          <w:ilvl w:val="0"/>
          <w:numId w:val="5"/>
        </w:numPr>
        <w:spacing w:after="160" w:line="259" w:lineRule="auto"/>
      </w:pPr>
      <w:r>
        <w:t>19 adult bottlenose dolphins from two species in this study (</w:t>
      </w:r>
      <w:r w:rsidRPr="02B6F730">
        <w:rPr>
          <w:i/>
          <w:iCs/>
        </w:rPr>
        <w:t xml:space="preserve">Tursiops </w:t>
      </w:r>
      <w:proofErr w:type="spellStart"/>
      <w:r w:rsidRPr="02B6F730">
        <w:rPr>
          <w:i/>
          <w:iCs/>
        </w:rPr>
        <w:t>truncatus</w:t>
      </w:r>
      <w:proofErr w:type="spellEnd"/>
      <w:r w:rsidRPr="02B6F730">
        <w:rPr>
          <w:i/>
          <w:iCs/>
        </w:rPr>
        <w:t xml:space="preserve"> </w:t>
      </w:r>
      <w:proofErr w:type="spellStart"/>
      <w:r w:rsidRPr="02B6F730">
        <w:rPr>
          <w:i/>
          <w:iCs/>
        </w:rPr>
        <w:t>truncatus</w:t>
      </w:r>
      <w:proofErr w:type="spellEnd"/>
      <w:r>
        <w:t xml:space="preserve"> = common bottlenose dolphin; and </w:t>
      </w:r>
      <w:r w:rsidRPr="02B6F730">
        <w:rPr>
          <w:i/>
          <w:iCs/>
        </w:rPr>
        <w:t xml:space="preserve">Tursiops </w:t>
      </w:r>
      <w:proofErr w:type="spellStart"/>
      <w:r w:rsidRPr="02B6F730">
        <w:rPr>
          <w:i/>
          <w:iCs/>
        </w:rPr>
        <w:t>aduncus</w:t>
      </w:r>
      <w:proofErr w:type="spellEnd"/>
      <w:r w:rsidRPr="02B6F730">
        <w:rPr>
          <w:i/>
          <w:iCs/>
        </w:rPr>
        <w:t xml:space="preserve"> </w:t>
      </w:r>
      <w:r>
        <w:t xml:space="preserve">= Indo-pacific bottlenose dolphin) </w:t>
      </w:r>
    </w:p>
    <w:p w14:paraId="2BBC7FEF" w14:textId="77777777" w:rsidR="006317AD" w:rsidRDefault="006317AD" w:rsidP="006317AD">
      <w:pPr>
        <w:pStyle w:val="ListParagraph"/>
        <w:numPr>
          <w:ilvl w:val="0"/>
          <w:numId w:val="5"/>
        </w:numPr>
        <w:spacing w:after="160" w:line="259" w:lineRule="auto"/>
      </w:pPr>
      <w:r>
        <w:t xml:space="preserve">Tidal volume expired and inspired decreased with time on land BUT no changes in </w:t>
      </w:r>
      <w:proofErr w:type="gramStart"/>
      <w:r>
        <w:t>end-expired</w:t>
      </w:r>
      <w:proofErr w:type="gramEnd"/>
      <w:r>
        <w:t xml:space="preserve"> O2 concentration</w:t>
      </w:r>
    </w:p>
    <w:p w14:paraId="7984CC50" w14:textId="77777777" w:rsidR="006317AD" w:rsidRDefault="006317AD" w:rsidP="006317AD">
      <w:pPr>
        <w:pStyle w:val="ListParagraph"/>
        <w:numPr>
          <w:ilvl w:val="1"/>
          <w:numId w:val="5"/>
        </w:numPr>
        <w:spacing w:after="160" w:line="259" w:lineRule="auto"/>
      </w:pPr>
      <w:r>
        <w:lastRenderedPageBreak/>
        <w:t>Suggests that despite tidal volume reduction, dolphins compensated their alveolar ventilation to prevent hypoxia at least during the first 10 minutes</w:t>
      </w:r>
    </w:p>
    <w:p w14:paraId="769F06C1" w14:textId="77777777" w:rsidR="006317AD" w:rsidRDefault="006317AD" w:rsidP="006317AD">
      <w:pPr>
        <w:pStyle w:val="ListParagraph"/>
        <w:numPr>
          <w:ilvl w:val="0"/>
          <w:numId w:val="5"/>
        </w:numPr>
        <w:spacing w:after="160" w:line="259" w:lineRule="auto"/>
      </w:pPr>
      <w:r>
        <w:t xml:space="preserve">Decrease in expired tidal volume occurred because tidal volume was less; </w:t>
      </w:r>
      <w:proofErr w:type="gramStart"/>
      <w:r>
        <w:t>However</w:t>
      </w:r>
      <w:proofErr w:type="gramEnd"/>
      <w:r>
        <w:t xml:space="preserve"> decrease in inspired tidal volume occurred because inspired flow rate was decreased.</w:t>
      </w:r>
    </w:p>
    <w:p w14:paraId="4DD31751" w14:textId="77777777" w:rsidR="006317AD" w:rsidRDefault="006317AD" w:rsidP="006317AD"/>
    <w:p w14:paraId="36326C59" w14:textId="77777777" w:rsidR="006317AD" w:rsidRDefault="006317AD" w:rsidP="006317AD">
      <w:r>
        <w:t xml:space="preserve">Take Home Point: There are progressive reductions over time in respiratory capacity during beaching in healthy bottlenose dolphins. However, there were no changes in </w:t>
      </w:r>
      <w:proofErr w:type="gramStart"/>
      <w:r>
        <w:t>end-expired</w:t>
      </w:r>
      <w:proofErr w:type="gramEnd"/>
      <w:r>
        <w:t xml:space="preserve"> O2 levels during the study time </w:t>
      </w:r>
    </w:p>
    <w:p w14:paraId="477357B7" w14:textId="77777777" w:rsidR="006317AD" w:rsidRDefault="006317AD" w:rsidP="006317AD">
      <w:pPr>
        <w:jc w:val="center"/>
      </w:pPr>
      <w:r>
        <w:rPr>
          <w:noProof/>
        </w:rPr>
        <w:drawing>
          <wp:inline distT="0" distB="0" distL="0" distR="0" wp14:anchorId="782B5355" wp14:editId="3128CEA7">
            <wp:extent cx="2809875" cy="3322020"/>
            <wp:effectExtent l="0" t="0" r="0" b="0"/>
            <wp:docPr id="109859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9875" cy="3322020"/>
                    </a:xfrm>
                    <a:prstGeom prst="rect">
                      <a:avLst/>
                    </a:prstGeom>
                  </pic:spPr>
                </pic:pic>
              </a:graphicData>
            </a:graphic>
          </wp:inline>
        </w:drawing>
      </w:r>
    </w:p>
    <w:p w14:paraId="2EF8E8F7" w14:textId="77777777" w:rsidR="006317AD" w:rsidRDefault="006317AD" w:rsidP="006317AD">
      <w:pPr>
        <w:jc w:val="center"/>
      </w:pPr>
    </w:p>
    <w:p w14:paraId="1E0E0B46" w14:textId="77777777" w:rsidR="006317AD" w:rsidRDefault="006317AD" w:rsidP="006317AD">
      <w:r>
        <w:t>____________________________________________________________________________________</w:t>
      </w:r>
    </w:p>
    <w:p w14:paraId="1BD3311B" w14:textId="77777777" w:rsidR="006317AD" w:rsidRDefault="006317AD" w:rsidP="006317AD">
      <w:r w:rsidRPr="02B6F730">
        <w:rPr>
          <w:b/>
          <w:bCs/>
        </w:rPr>
        <w:t>Efficacy of human recombinant granulocyte colony-stimulating factor (G-CSF, Filgrastim; Neupogen) in neutropenic cetaceans.</w:t>
      </w:r>
      <w:r>
        <w:t xml:space="preserve"> Journal of Zoo and Wildlife Medicine. 52.3. (2021): 1042-1053.</w:t>
      </w:r>
    </w:p>
    <w:p w14:paraId="100FA6E3" w14:textId="77777777" w:rsidR="006317AD" w:rsidRDefault="006317AD" w:rsidP="006317AD">
      <w:pPr>
        <w:spacing w:before="240" w:after="240"/>
        <w:rPr>
          <w:rFonts w:ascii="Calibri" w:eastAsia="Calibri" w:hAnsi="Calibri" w:cs="Calibri"/>
          <w:b/>
          <w:bCs/>
          <w:color w:val="000000" w:themeColor="text1"/>
        </w:rPr>
      </w:pPr>
      <w:r>
        <w:t xml:space="preserve">Abstract: </w:t>
      </w:r>
      <w:r w:rsidRPr="02B6F730">
        <w:rPr>
          <w:rFonts w:ascii="Calibri" w:eastAsia="Calibri" w:hAnsi="Calibri" w:cs="Calibri"/>
          <w:color w:val="000000" w:themeColor="text1"/>
        </w:rPr>
        <w:t xml:space="preserve">Neutrophils are one of the initial cell lines of protection against pathogens, and when their concentrations in the blood are low, animals are highly susceptible to infections. </w:t>
      </w:r>
      <w:r w:rsidRPr="02B6F730">
        <w:rPr>
          <w:rFonts w:ascii="Calibri" w:eastAsia="Calibri" w:hAnsi="Calibri" w:cs="Calibri"/>
          <w:b/>
          <w:bCs/>
          <w:color w:val="000000" w:themeColor="text1"/>
        </w:rPr>
        <w:t>Neutropenia has been reported in cetaceans secondary to administration of systemic sulfa antibiotics or antifungal medications and severe, overwhelming infection.</w:t>
      </w:r>
      <w:r w:rsidRPr="02B6F730">
        <w:rPr>
          <w:rFonts w:ascii="Calibri" w:eastAsia="Calibri" w:hAnsi="Calibri" w:cs="Calibri"/>
          <w:color w:val="000000" w:themeColor="text1"/>
        </w:rPr>
        <w:t xml:space="preserve"> Filgrastim was administered to treat neutropenia over a 15-y period in 11 cetaceans comprising four species—beluga (</w:t>
      </w:r>
      <w:r w:rsidRPr="02B6F730">
        <w:rPr>
          <w:rFonts w:ascii="Calibri" w:eastAsia="Calibri" w:hAnsi="Calibri" w:cs="Calibri"/>
          <w:i/>
          <w:iCs/>
          <w:color w:val="000000" w:themeColor="text1"/>
        </w:rPr>
        <w:t>Delphinapterus leucas</w:t>
      </w:r>
      <w:r w:rsidRPr="02B6F730">
        <w:rPr>
          <w:rFonts w:ascii="Calibri" w:eastAsia="Calibri" w:hAnsi="Calibri" w:cs="Calibri"/>
          <w:color w:val="000000" w:themeColor="text1"/>
        </w:rPr>
        <w:t>, n = 1), bottlenose dolphin (</w:t>
      </w:r>
      <w:r w:rsidRPr="02B6F730">
        <w:rPr>
          <w:rFonts w:ascii="Calibri" w:eastAsia="Calibri" w:hAnsi="Calibri" w:cs="Calibri"/>
          <w:i/>
          <w:iCs/>
          <w:color w:val="000000" w:themeColor="text1"/>
        </w:rPr>
        <w:t xml:space="preserve">Tursiops </w:t>
      </w:r>
      <w:proofErr w:type="spellStart"/>
      <w:r w:rsidRPr="02B6F730">
        <w:rPr>
          <w:rFonts w:ascii="Calibri" w:eastAsia="Calibri" w:hAnsi="Calibri" w:cs="Calibri"/>
          <w:i/>
          <w:iCs/>
          <w:color w:val="000000" w:themeColor="text1"/>
        </w:rPr>
        <w:t>truncatus</w:t>
      </w:r>
      <w:proofErr w:type="spellEnd"/>
      <w:r w:rsidRPr="02B6F730">
        <w:rPr>
          <w:rFonts w:ascii="Calibri" w:eastAsia="Calibri" w:hAnsi="Calibri" w:cs="Calibri"/>
          <w:color w:val="000000" w:themeColor="text1"/>
        </w:rPr>
        <w:t>, n = 4), killer whale (</w:t>
      </w:r>
      <w:r w:rsidRPr="02B6F730">
        <w:rPr>
          <w:rFonts w:ascii="Calibri" w:eastAsia="Calibri" w:hAnsi="Calibri" w:cs="Calibri"/>
          <w:i/>
          <w:iCs/>
          <w:color w:val="000000" w:themeColor="text1"/>
        </w:rPr>
        <w:t>Orcinus orca</w:t>
      </w:r>
      <w:r w:rsidRPr="02B6F730">
        <w:rPr>
          <w:rFonts w:ascii="Calibri" w:eastAsia="Calibri" w:hAnsi="Calibri" w:cs="Calibri"/>
          <w:color w:val="000000" w:themeColor="text1"/>
        </w:rPr>
        <w:t>, n = 5), and short-finned pilot whale (</w:t>
      </w:r>
      <w:r w:rsidRPr="02B6F730">
        <w:rPr>
          <w:rFonts w:ascii="Calibri" w:eastAsia="Calibri" w:hAnsi="Calibri" w:cs="Calibri"/>
          <w:i/>
          <w:iCs/>
          <w:color w:val="000000" w:themeColor="text1"/>
        </w:rPr>
        <w:t xml:space="preserve">Globicephala </w:t>
      </w:r>
      <w:proofErr w:type="spellStart"/>
      <w:r w:rsidRPr="02B6F730">
        <w:rPr>
          <w:rFonts w:ascii="Calibri" w:eastAsia="Calibri" w:hAnsi="Calibri" w:cs="Calibri"/>
          <w:i/>
          <w:iCs/>
          <w:color w:val="000000" w:themeColor="text1"/>
        </w:rPr>
        <w:t>macrorhynchus</w:t>
      </w:r>
      <w:proofErr w:type="spellEnd"/>
      <w:r w:rsidRPr="02B6F730">
        <w:rPr>
          <w:rFonts w:ascii="Calibri" w:eastAsia="Calibri" w:hAnsi="Calibri" w:cs="Calibri"/>
          <w:color w:val="000000" w:themeColor="text1"/>
        </w:rPr>
        <w:t xml:space="preserve">, n = 1)] ranging in age from 1 </w:t>
      </w:r>
      <w:proofErr w:type="spellStart"/>
      <w:r w:rsidRPr="02B6F730">
        <w:rPr>
          <w:rFonts w:ascii="Calibri" w:eastAsia="Calibri" w:hAnsi="Calibri" w:cs="Calibri"/>
          <w:color w:val="000000" w:themeColor="text1"/>
        </w:rPr>
        <w:t>wk</w:t>
      </w:r>
      <w:proofErr w:type="spellEnd"/>
      <w:r w:rsidRPr="02B6F730">
        <w:rPr>
          <w:rFonts w:ascii="Calibri" w:eastAsia="Calibri" w:hAnsi="Calibri" w:cs="Calibri"/>
          <w:color w:val="000000" w:themeColor="text1"/>
        </w:rPr>
        <w:t xml:space="preserve"> to &gt;24 y. Seven study animals received multiple doses (2–6). </w:t>
      </w:r>
      <w:r w:rsidRPr="02B6F730">
        <w:rPr>
          <w:rFonts w:ascii="Calibri" w:eastAsia="Calibri" w:hAnsi="Calibri" w:cs="Calibri"/>
          <w:b/>
          <w:bCs/>
          <w:color w:val="000000" w:themeColor="text1"/>
        </w:rPr>
        <w:t xml:space="preserve">All animals responded to at least one dose (1–7 ug/kg) of parenteral filgrastim characterized by an increase in peripheral immature (band) neutrophils, segmented </w:t>
      </w:r>
      <w:r w:rsidRPr="02B6F730">
        <w:rPr>
          <w:rFonts w:ascii="Calibri" w:eastAsia="Calibri" w:hAnsi="Calibri" w:cs="Calibri"/>
          <w:b/>
          <w:bCs/>
          <w:color w:val="000000" w:themeColor="text1"/>
        </w:rPr>
        <w:lastRenderedPageBreak/>
        <w:t>neutrophils, or both. In most cases (9/11), neutrophil counts increased within 48 h of a single dose.</w:t>
      </w:r>
      <w:r w:rsidRPr="02B6F730">
        <w:rPr>
          <w:rFonts w:ascii="Calibri" w:eastAsia="Calibri" w:hAnsi="Calibri" w:cs="Calibri"/>
          <w:color w:val="000000" w:themeColor="text1"/>
        </w:rPr>
        <w:t xml:space="preserve"> </w:t>
      </w:r>
      <w:r w:rsidRPr="02B6F730">
        <w:rPr>
          <w:rFonts w:ascii="Calibri" w:eastAsia="Calibri" w:hAnsi="Calibri" w:cs="Calibri"/>
          <w:b/>
          <w:bCs/>
          <w:color w:val="000000" w:themeColor="text1"/>
        </w:rPr>
        <w:t xml:space="preserve">Duration of response varied but was at least 2 </w:t>
      </w:r>
      <w:proofErr w:type="spellStart"/>
      <w:r w:rsidRPr="02B6F730">
        <w:rPr>
          <w:rFonts w:ascii="Calibri" w:eastAsia="Calibri" w:hAnsi="Calibri" w:cs="Calibri"/>
          <w:b/>
          <w:bCs/>
          <w:color w:val="000000" w:themeColor="text1"/>
        </w:rPr>
        <w:t>wk</w:t>
      </w:r>
      <w:proofErr w:type="spellEnd"/>
      <w:r w:rsidRPr="02B6F730">
        <w:rPr>
          <w:rFonts w:ascii="Calibri" w:eastAsia="Calibri" w:hAnsi="Calibri" w:cs="Calibri"/>
          <w:b/>
          <w:bCs/>
          <w:color w:val="000000" w:themeColor="text1"/>
        </w:rPr>
        <w:t xml:space="preserve"> in eight of the 11 animals and 5–9 d in the remaining animals. No adverse reactions were observed in any cases.</w:t>
      </w:r>
    </w:p>
    <w:p w14:paraId="43821048" w14:textId="77777777" w:rsidR="006317AD" w:rsidRDefault="006317AD" w:rsidP="006317AD">
      <w:r>
        <w:t>Key Points:</w:t>
      </w:r>
    </w:p>
    <w:p w14:paraId="6FB76E60" w14:textId="77777777" w:rsidR="006317AD" w:rsidRDefault="006317AD" w:rsidP="006317AD">
      <w:pPr>
        <w:pStyle w:val="ListParagraph"/>
        <w:numPr>
          <w:ilvl w:val="0"/>
          <w:numId w:val="4"/>
        </w:numPr>
        <w:spacing w:after="160" w:line="259" w:lineRule="auto"/>
      </w:pPr>
      <w:r>
        <w:t>Neutrophils = phagocytic granulocyte, innate immune system, initial defense against pathogens</w:t>
      </w:r>
    </w:p>
    <w:p w14:paraId="6B123901" w14:textId="77777777" w:rsidR="006317AD" w:rsidRDefault="006317AD" w:rsidP="006317AD">
      <w:pPr>
        <w:pStyle w:val="ListParagraph"/>
        <w:numPr>
          <w:ilvl w:val="0"/>
          <w:numId w:val="4"/>
        </w:numPr>
        <w:spacing w:after="160" w:line="259" w:lineRule="auto"/>
        <w:rPr>
          <w:b/>
          <w:bCs/>
          <w:u w:val="single"/>
        </w:rPr>
      </w:pPr>
      <w:r w:rsidRPr="02B6F730">
        <w:rPr>
          <w:b/>
          <w:bCs/>
          <w:u w:val="single"/>
        </w:rPr>
        <w:t>Granulopoiesis</w:t>
      </w:r>
      <w:r>
        <w:t xml:space="preserve"> in mammals occurs via mediators including </w:t>
      </w:r>
      <w:r w:rsidRPr="02B6F730">
        <w:rPr>
          <w:b/>
          <w:bCs/>
          <w:u w:val="single"/>
        </w:rPr>
        <w:t>granulocyte colony-stimulating factor or G-CSF</w:t>
      </w:r>
    </w:p>
    <w:p w14:paraId="3521DD5D" w14:textId="77777777" w:rsidR="006317AD" w:rsidRDefault="006317AD" w:rsidP="006317AD">
      <w:pPr>
        <w:pStyle w:val="ListParagraph"/>
        <w:numPr>
          <w:ilvl w:val="1"/>
          <w:numId w:val="4"/>
        </w:numPr>
        <w:spacing w:after="160" w:line="259" w:lineRule="auto"/>
      </w:pPr>
      <w:r>
        <w:t>G-CSF = glycoprotein cytokine that can stimulate survival, proliferation, and terminal differentiation of neutrophils and improve neutrophil function; increases neutrophil production, shortens maturation time of neutrophilic precursors, increases release from bone marrow, and prevents neutrophilic apoptosis</w:t>
      </w:r>
    </w:p>
    <w:p w14:paraId="6F361851" w14:textId="77777777" w:rsidR="006317AD" w:rsidRDefault="006317AD" w:rsidP="006317AD">
      <w:pPr>
        <w:pStyle w:val="ListParagraph"/>
        <w:numPr>
          <w:ilvl w:val="1"/>
          <w:numId w:val="4"/>
        </w:numPr>
        <w:spacing w:after="160" w:line="259" w:lineRule="auto"/>
      </w:pPr>
      <w:r>
        <w:t>G-CSF production markedly increases with endotoxins and inflammatory mediators</w:t>
      </w:r>
    </w:p>
    <w:p w14:paraId="094FCBF9" w14:textId="77777777" w:rsidR="006317AD" w:rsidRDefault="006317AD" w:rsidP="006317AD">
      <w:pPr>
        <w:pStyle w:val="ListParagraph"/>
        <w:numPr>
          <w:ilvl w:val="1"/>
          <w:numId w:val="4"/>
        </w:numPr>
        <w:spacing w:after="160" w:line="259" w:lineRule="auto"/>
      </w:pPr>
      <w:r>
        <w:t>Filgrastim (brand name Neupogen) is a human recombinant G-CSF</w:t>
      </w:r>
    </w:p>
    <w:p w14:paraId="5550BC57" w14:textId="77777777" w:rsidR="006317AD" w:rsidRDefault="006317AD" w:rsidP="006317AD">
      <w:pPr>
        <w:pStyle w:val="ListParagraph"/>
        <w:numPr>
          <w:ilvl w:val="0"/>
          <w:numId w:val="4"/>
        </w:numPr>
        <w:spacing w:after="160" w:line="259" w:lineRule="auto"/>
      </w:pPr>
      <w:r>
        <w:t>Neutropenia in cetaceans reported secondary to systemic sulfa antibiotics, ketoconazole, micafungin, and severe infections</w:t>
      </w:r>
    </w:p>
    <w:p w14:paraId="155627E1" w14:textId="77777777" w:rsidR="006317AD" w:rsidRDefault="006317AD" w:rsidP="006317AD">
      <w:pPr>
        <w:pStyle w:val="ListParagraph"/>
        <w:numPr>
          <w:ilvl w:val="1"/>
          <w:numId w:val="4"/>
        </w:numPr>
        <w:spacing w:after="160" w:line="259" w:lineRule="auto"/>
      </w:pPr>
      <w:r>
        <w:t>In this study, 8 cases indeterminant cause of neutropenia, 3 cases presumed to be reaction to sulfa antibiotics</w:t>
      </w:r>
    </w:p>
    <w:p w14:paraId="2544A726" w14:textId="77777777" w:rsidR="006317AD" w:rsidRDefault="006317AD" w:rsidP="006317AD">
      <w:pPr>
        <w:pStyle w:val="ListParagraph"/>
        <w:numPr>
          <w:ilvl w:val="0"/>
          <w:numId w:val="4"/>
        </w:numPr>
        <w:spacing w:after="160" w:line="259" w:lineRule="auto"/>
      </w:pPr>
      <w:r>
        <w:t>All cetaceans responded to Filgrastim</w:t>
      </w:r>
    </w:p>
    <w:p w14:paraId="55CD306C" w14:textId="77777777" w:rsidR="006317AD" w:rsidRDefault="006317AD" w:rsidP="006317AD">
      <w:pPr>
        <w:pStyle w:val="ListParagraph"/>
        <w:numPr>
          <w:ilvl w:val="1"/>
          <w:numId w:val="4"/>
        </w:numPr>
        <w:spacing w:after="160" w:line="259" w:lineRule="auto"/>
      </w:pPr>
      <w:r>
        <w:t>In 9/11 cases response occurred within 24-48 hours of single dose</w:t>
      </w:r>
    </w:p>
    <w:p w14:paraId="3BC79459" w14:textId="77777777" w:rsidR="006317AD" w:rsidRDefault="006317AD" w:rsidP="006317AD">
      <w:pPr>
        <w:pStyle w:val="ListParagraph"/>
        <w:numPr>
          <w:ilvl w:val="1"/>
          <w:numId w:val="4"/>
        </w:numPr>
        <w:spacing w:after="160" w:line="259" w:lineRule="auto"/>
      </w:pPr>
      <w:r>
        <w:t>In 10/11 cases response characterized by initial moderate to robust increase in neutrophil progenitor cells (bands) in conjunction with or followed by an increase in segmented neutrophils</w:t>
      </w:r>
    </w:p>
    <w:p w14:paraId="7292F07F" w14:textId="77777777" w:rsidR="006317AD" w:rsidRDefault="006317AD" w:rsidP="006317AD">
      <w:pPr>
        <w:pStyle w:val="ListParagraph"/>
        <w:numPr>
          <w:ilvl w:val="1"/>
          <w:numId w:val="4"/>
        </w:numPr>
        <w:spacing w:after="160" w:line="259" w:lineRule="auto"/>
      </w:pPr>
      <w:r>
        <w:t xml:space="preserve">Duration of response 2 </w:t>
      </w:r>
      <w:proofErr w:type="spellStart"/>
      <w:r>
        <w:t>wk</w:t>
      </w:r>
      <w:proofErr w:type="spellEnd"/>
      <w:r>
        <w:t xml:space="preserve"> in 8/11 animals and 5-9 days in remaining animals</w:t>
      </w:r>
    </w:p>
    <w:p w14:paraId="0A2133FF" w14:textId="77777777" w:rsidR="006317AD" w:rsidRDefault="006317AD" w:rsidP="006317AD">
      <w:pPr>
        <w:pStyle w:val="ListParagraph"/>
        <w:numPr>
          <w:ilvl w:val="1"/>
          <w:numId w:val="4"/>
        </w:numPr>
        <w:spacing w:after="160" w:line="259" w:lineRule="auto"/>
      </w:pPr>
      <w:r>
        <w:t xml:space="preserve">In 8/11 cases neutrophil counts remained normal or elevated for at least 2 </w:t>
      </w:r>
      <w:proofErr w:type="spellStart"/>
      <w:r>
        <w:t>wk</w:t>
      </w:r>
      <w:proofErr w:type="spellEnd"/>
      <w:r>
        <w:t xml:space="preserve"> after last Filgrastim dose</w:t>
      </w:r>
    </w:p>
    <w:p w14:paraId="36D47ADB" w14:textId="77777777" w:rsidR="006317AD" w:rsidRDefault="006317AD" w:rsidP="006317AD">
      <w:pPr>
        <w:pStyle w:val="ListParagraph"/>
        <w:numPr>
          <w:ilvl w:val="1"/>
          <w:numId w:val="4"/>
        </w:numPr>
        <w:spacing w:after="160" w:line="259" w:lineRule="auto"/>
      </w:pPr>
      <w:r>
        <w:t>No immediate or long-term adverse effects were seen</w:t>
      </w:r>
    </w:p>
    <w:p w14:paraId="1079E666" w14:textId="77777777" w:rsidR="006317AD" w:rsidRDefault="006317AD" w:rsidP="006317AD">
      <w:pPr>
        <w:pStyle w:val="ListParagraph"/>
        <w:numPr>
          <w:ilvl w:val="1"/>
          <w:numId w:val="4"/>
        </w:numPr>
        <w:spacing w:after="160" w:line="259" w:lineRule="auto"/>
      </w:pPr>
      <w:r>
        <w:t xml:space="preserve">Dogs and cats can develop neutralizing antibodies but after &gt;17 days of daily </w:t>
      </w:r>
      <w:proofErr w:type="spellStart"/>
      <w:r>
        <w:t>tx</w:t>
      </w:r>
      <w:proofErr w:type="spellEnd"/>
      <w:r>
        <w:t>. This was not observed in this case series but remains a concern.</w:t>
      </w:r>
    </w:p>
    <w:p w14:paraId="2F888B6E" w14:textId="77777777" w:rsidR="006317AD" w:rsidRDefault="006317AD" w:rsidP="006317AD">
      <w:r>
        <w:t xml:space="preserve">Take Home Point: All cetaceans in this report responded to filgrastim, a recombinant human granulocyte colony-stimulating factor. Responses involved an elevation in bands and segmented neutrophils and these responses were neither species dependent nor dependent upon route (SC, IM or IV), order, or number of filgrastim doses. </w:t>
      </w:r>
    </w:p>
    <w:p w14:paraId="2459D387" w14:textId="77777777" w:rsidR="006317AD" w:rsidRDefault="006317AD" w:rsidP="006317AD">
      <w:r>
        <w:t>____________________________________________________________________________________</w:t>
      </w:r>
    </w:p>
    <w:p w14:paraId="2514B058" w14:textId="77777777" w:rsidR="006317AD" w:rsidRDefault="006317AD" w:rsidP="006317AD">
      <w:r w:rsidRPr="02B6F730">
        <w:rPr>
          <w:b/>
          <w:bCs/>
        </w:rPr>
        <w:t>Superficial cervical lymphadenitis associated with</w:t>
      </w:r>
      <w:r w:rsidRPr="02B6F730">
        <w:rPr>
          <w:b/>
          <w:bCs/>
          <w:i/>
          <w:iCs/>
        </w:rPr>
        <w:t xml:space="preserve"> Streptococcus </w:t>
      </w:r>
      <w:proofErr w:type="spellStart"/>
      <w:r w:rsidRPr="02B6F730">
        <w:rPr>
          <w:b/>
          <w:bCs/>
          <w:i/>
          <w:iCs/>
        </w:rPr>
        <w:t>phocae</w:t>
      </w:r>
      <w:proofErr w:type="spellEnd"/>
      <w:r w:rsidRPr="02B6F730">
        <w:rPr>
          <w:b/>
          <w:bCs/>
        </w:rPr>
        <w:t xml:space="preserve"> in five common Bottlenose dolphins (</w:t>
      </w:r>
      <w:r w:rsidRPr="02B6F730">
        <w:rPr>
          <w:b/>
          <w:bCs/>
          <w:i/>
          <w:iCs/>
        </w:rPr>
        <w:t xml:space="preserve">Tursiops </w:t>
      </w:r>
      <w:proofErr w:type="spellStart"/>
      <w:r w:rsidRPr="02B6F730">
        <w:rPr>
          <w:b/>
          <w:bCs/>
          <w:i/>
          <w:iCs/>
        </w:rPr>
        <w:t>truncatus</w:t>
      </w:r>
      <w:proofErr w:type="spellEnd"/>
      <w:r w:rsidRPr="02B6F730">
        <w:rPr>
          <w:b/>
          <w:bCs/>
        </w:rPr>
        <w:t xml:space="preserve">): A case series. </w:t>
      </w:r>
      <w:r>
        <w:t>Journal of Zoo and Wildlife Medicine. 54.1. (2023): 192-201.</w:t>
      </w:r>
    </w:p>
    <w:p w14:paraId="25BDF2B1" w14:textId="77777777" w:rsidR="006317AD" w:rsidRDefault="006317AD" w:rsidP="006317AD">
      <w:pPr>
        <w:spacing w:before="240" w:after="240"/>
      </w:pPr>
      <w:r w:rsidRPr="02B6F730">
        <w:rPr>
          <w:b/>
          <w:bCs/>
          <w:u w:val="single"/>
        </w:rPr>
        <w:lastRenderedPageBreak/>
        <w:t>Abstract:</w:t>
      </w:r>
      <w:r>
        <w:t xml:space="preserve"> </w:t>
      </w:r>
      <w:r w:rsidRPr="02B6F730">
        <w:rPr>
          <w:rFonts w:ascii="Calibri" w:eastAsia="Calibri" w:hAnsi="Calibri" w:cs="Calibri"/>
          <w:b/>
          <w:bCs/>
          <w:color w:val="000000" w:themeColor="text1"/>
        </w:rPr>
        <w:t>Between 2009 and 2018, five common bottlenose dolphins (</w:t>
      </w:r>
      <w:r w:rsidRPr="02B6F730">
        <w:rPr>
          <w:rFonts w:ascii="Calibri" w:eastAsia="Calibri" w:hAnsi="Calibri" w:cs="Calibri"/>
          <w:b/>
          <w:bCs/>
          <w:i/>
          <w:iCs/>
          <w:color w:val="000000" w:themeColor="text1"/>
        </w:rPr>
        <w:t xml:space="preserve">Tursiops </w:t>
      </w:r>
      <w:proofErr w:type="spellStart"/>
      <w:r w:rsidRPr="02B6F730">
        <w:rPr>
          <w:rFonts w:ascii="Calibri" w:eastAsia="Calibri" w:hAnsi="Calibri" w:cs="Calibri"/>
          <w:b/>
          <w:bCs/>
          <w:i/>
          <w:iCs/>
          <w:color w:val="000000" w:themeColor="text1"/>
        </w:rPr>
        <w:t>truncatus</w:t>
      </w:r>
      <w:proofErr w:type="spellEnd"/>
      <w:r w:rsidRPr="02B6F730">
        <w:rPr>
          <w:rFonts w:ascii="Calibri" w:eastAsia="Calibri" w:hAnsi="Calibri" w:cs="Calibri"/>
          <w:b/>
          <w:bCs/>
          <w:color w:val="000000" w:themeColor="text1"/>
        </w:rPr>
        <w:t>) at the US Navy Marine Mammal Program presented with superficial cervical lymphadenitis.</w:t>
      </w:r>
      <w:r w:rsidRPr="02B6F730">
        <w:rPr>
          <w:rFonts w:ascii="Calibri" w:eastAsia="Calibri" w:hAnsi="Calibri" w:cs="Calibri"/>
          <w:color w:val="000000" w:themeColor="text1"/>
        </w:rPr>
        <w:t xml:space="preserve"> Clinical findings included </w:t>
      </w:r>
      <w:r w:rsidRPr="02B6F730">
        <w:rPr>
          <w:rFonts w:ascii="Calibri" w:eastAsia="Calibri" w:hAnsi="Calibri" w:cs="Calibri"/>
          <w:b/>
          <w:bCs/>
          <w:color w:val="000000" w:themeColor="text1"/>
        </w:rPr>
        <w:t>ultrasonographic evidence of cervical lymph node enlargement, severe leukocytosis, elevated erythrocyte sedimentation rates, and reduced serum iron.</w:t>
      </w:r>
      <w:r w:rsidRPr="02B6F730">
        <w:rPr>
          <w:rFonts w:ascii="Calibri" w:eastAsia="Calibri" w:hAnsi="Calibri" w:cs="Calibri"/>
          <w:color w:val="000000" w:themeColor="text1"/>
        </w:rPr>
        <w:t xml:space="preserve"> Three of the dolphins presented with clinicopathologic changes without presence of clinical signs, and the other two cases additionally presented with partial to complete anorexia, lethargy, and refusal to participate in training sessions. </w:t>
      </w:r>
      <w:r w:rsidRPr="02B6F730">
        <w:rPr>
          <w:rFonts w:ascii="Calibri" w:eastAsia="Calibri" w:hAnsi="Calibri" w:cs="Calibri"/>
          <w:b/>
          <w:bCs/>
          <w:color w:val="000000" w:themeColor="text1"/>
        </w:rPr>
        <w:t xml:space="preserve">Ultrasound-guided fine needle aspiration or biopsy of the affected lymph nodes yielded </w:t>
      </w:r>
      <w:r w:rsidRPr="02B6F730">
        <w:rPr>
          <w:rFonts w:ascii="Calibri" w:eastAsia="Calibri" w:hAnsi="Calibri" w:cs="Calibri"/>
          <w:b/>
          <w:bCs/>
          <w:i/>
          <w:iCs/>
          <w:color w:val="000000" w:themeColor="text1"/>
        </w:rPr>
        <w:t xml:space="preserve">Streptococcus </w:t>
      </w:r>
      <w:proofErr w:type="spellStart"/>
      <w:r w:rsidRPr="02B6F730">
        <w:rPr>
          <w:rFonts w:ascii="Calibri" w:eastAsia="Calibri" w:hAnsi="Calibri" w:cs="Calibri"/>
          <w:b/>
          <w:bCs/>
          <w:i/>
          <w:iCs/>
          <w:color w:val="000000" w:themeColor="text1"/>
        </w:rPr>
        <w:t>phocae</w:t>
      </w:r>
      <w:proofErr w:type="spellEnd"/>
      <w:r w:rsidRPr="02B6F730">
        <w:rPr>
          <w:rFonts w:ascii="Calibri" w:eastAsia="Calibri" w:hAnsi="Calibri" w:cs="Calibri"/>
          <w:b/>
          <w:bCs/>
          <w:i/>
          <w:iCs/>
          <w:color w:val="000000" w:themeColor="text1"/>
        </w:rPr>
        <w:t xml:space="preserve"> </w:t>
      </w:r>
      <w:r w:rsidRPr="02B6F730">
        <w:rPr>
          <w:rFonts w:ascii="Calibri" w:eastAsia="Calibri" w:hAnsi="Calibri" w:cs="Calibri"/>
          <w:b/>
          <w:bCs/>
          <w:color w:val="000000" w:themeColor="text1"/>
        </w:rPr>
        <w:t>by PCR in all cases, and the organism was cultured in one of five cases.</w:t>
      </w:r>
      <w:r w:rsidRPr="02B6F730">
        <w:rPr>
          <w:rFonts w:ascii="Calibri" w:eastAsia="Calibri" w:hAnsi="Calibri" w:cs="Calibri"/>
          <w:color w:val="000000" w:themeColor="text1"/>
        </w:rPr>
        <w:t xml:space="preserve"> Animals were treated with a combination of enteral, parenteral, intralesional antimicrobial, or a combination of those therapies and supportive care. </w:t>
      </w:r>
      <w:r w:rsidRPr="02B6F730">
        <w:rPr>
          <w:rFonts w:ascii="Calibri" w:eastAsia="Calibri" w:hAnsi="Calibri" w:cs="Calibri"/>
          <w:b/>
          <w:bCs/>
          <w:color w:val="000000" w:themeColor="text1"/>
        </w:rPr>
        <w:t xml:space="preserve">Time to resolution of clinical disease ranged between 62 and 188 days. To the authors’ knowledge, this is the first report of </w:t>
      </w:r>
      <w:r w:rsidRPr="02B6F730">
        <w:rPr>
          <w:rFonts w:ascii="Calibri" w:eastAsia="Calibri" w:hAnsi="Calibri" w:cs="Calibri"/>
          <w:b/>
          <w:bCs/>
          <w:i/>
          <w:iCs/>
          <w:color w:val="000000" w:themeColor="text1"/>
        </w:rPr>
        <w:t xml:space="preserve">Streptococcus </w:t>
      </w:r>
      <w:proofErr w:type="spellStart"/>
      <w:r w:rsidRPr="02B6F730">
        <w:rPr>
          <w:rFonts w:ascii="Calibri" w:eastAsia="Calibri" w:hAnsi="Calibri" w:cs="Calibri"/>
          <w:b/>
          <w:bCs/>
          <w:i/>
          <w:iCs/>
          <w:color w:val="000000" w:themeColor="text1"/>
        </w:rPr>
        <w:t>phocae</w:t>
      </w:r>
      <w:proofErr w:type="spellEnd"/>
      <w:r w:rsidRPr="02B6F730">
        <w:rPr>
          <w:rFonts w:ascii="Calibri" w:eastAsia="Calibri" w:hAnsi="Calibri" w:cs="Calibri"/>
          <w:b/>
          <w:bCs/>
          <w:i/>
          <w:iCs/>
          <w:color w:val="000000" w:themeColor="text1"/>
        </w:rPr>
        <w:t xml:space="preserve"> </w:t>
      </w:r>
      <w:r w:rsidRPr="02B6F730">
        <w:rPr>
          <w:rFonts w:ascii="Calibri" w:eastAsia="Calibri" w:hAnsi="Calibri" w:cs="Calibri"/>
          <w:b/>
          <w:bCs/>
          <w:color w:val="000000" w:themeColor="text1"/>
        </w:rPr>
        <w:t>cervical lymphadenitis in cetaceans.</w:t>
      </w:r>
      <w:r w:rsidRPr="02B6F730">
        <w:rPr>
          <w:rFonts w:ascii="Calibri" w:eastAsia="Calibri" w:hAnsi="Calibri" w:cs="Calibri"/>
          <w:b/>
          <w:bCs/>
          <w:i/>
          <w:iCs/>
          <w:color w:val="000000" w:themeColor="text1"/>
        </w:rPr>
        <w:t xml:space="preserve"> </w:t>
      </w:r>
      <w:r w:rsidRPr="02B6F730">
        <w:rPr>
          <w:rFonts w:ascii="Calibri" w:eastAsia="Calibri" w:hAnsi="Calibri" w:cs="Calibri"/>
          <w:i/>
          <w:iCs/>
          <w:color w:val="000000" w:themeColor="text1"/>
        </w:rPr>
        <w:t xml:space="preserve">Streptococcus </w:t>
      </w:r>
      <w:proofErr w:type="spellStart"/>
      <w:r w:rsidRPr="02B6F730">
        <w:rPr>
          <w:rFonts w:ascii="Calibri" w:eastAsia="Calibri" w:hAnsi="Calibri" w:cs="Calibri"/>
          <w:i/>
          <w:iCs/>
          <w:color w:val="000000" w:themeColor="text1"/>
        </w:rPr>
        <w:t>phocae</w:t>
      </w:r>
      <w:proofErr w:type="spellEnd"/>
      <w:r w:rsidRPr="02B6F730">
        <w:rPr>
          <w:rFonts w:ascii="Calibri" w:eastAsia="Calibri" w:hAnsi="Calibri" w:cs="Calibri"/>
          <w:color w:val="000000" w:themeColor="text1"/>
        </w:rPr>
        <w:t xml:space="preserve"> lymphadenitis should be a differential for cervical lymphadenopathy in this species, especially when associated with pronounced systemic inflammation and a history of potential exposure.</w:t>
      </w:r>
    </w:p>
    <w:p w14:paraId="03143829" w14:textId="77777777" w:rsidR="006317AD" w:rsidRDefault="006317AD" w:rsidP="006317AD">
      <w:r>
        <w:t>Key Points:</w:t>
      </w:r>
    </w:p>
    <w:p w14:paraId="39BB37CA" w14:textId="77777777" w:rsidR="006317AD" w:rsidRDefault="006317AD" w:rsidP="006317AD">
      <w:pPr>
        <w:pStyle w:val="ListParagraph"/>
        <w:numPr>
          <w:ilvl w:val="0"/>
          <w:numId w:val="3"/>
        </w:numPr>
        <w:spacing w:after="160" w:line="259" w:lineRule="auto"/>
      </w:pPr>
      <w:r w:rsidRPr="02B6F730">
        <w:rPr>
          <w:i/>
          <w:iCs/>
        </w:rPr>
        <w:t xml:space="preserve">Streptococcus </w:t>
      </w:r>
      <w:proofErr w:type="spellStart"/>
      <w:r w:rsidRPr="02B6F730">
        <w:rPr>
          <w:i/>
          <w:iCs/>
        </w:rPr>
        <w:t>phocae</w:t>
      </w:r>
      <w:proofErr w:type="spellEnd"/>
      <w:r>
        <w:t xml:space="preserve"> = β-hemolytic streptococcal species</w:t>
      </w:r>
    </w:p>
    <w:p w14:paraId="5E581162" w14:textId="77777777" w:rsidR="006317AD" w:rsidRDefault="006317AD" w:rsidP="006317AD">
      <w:pPr>
        <w:pStyle w:val="ListParagraph"/>
        <w:numPr>
          <w:ilvl w:val="1"/>
          <w:numId w:val="3"/>
        </w:numPr>
        <w:spacing w:after="160" w:line="259" w:lineRule="auto"/>
      </w:pPr>
      <w:r>
        <w:t>Reported in marine animals as a commensal, opportunistic, and primary pathogen but epidemiology and pathogenicity poorly understood</w:t>
      </w:r>
    </w:p>
    <w:p w14:paraId="739FB4A4" w14:textId="77777777" w:rsidR="006317AD" w:rsidRDefault="006317AD" w:rsidP="006317AD">
      <w:pPr>
        <w:pStyle w:val="ListParagraph"/>
        <w:numPr>
          <w:ilvl w:val="1"/>
          <w:numId w:val="3"/>
        </w:numPr>
        <w:spacing w:after="160" w:line="259" w:lineRule="auto"/>
      </w:pPr>
      <w:r>
        <w:t xml:space="preserve">Clinical manifestations of disease include resp disease, abortion, pyometra, abscesses, </w:t>
      </w:r>
      <w:proofErr w:type="spellStart"/>
      <w:r>
        <w:t>speticemia</w:t>
      </w:r>
      <w:proofErr w:type="spellEnd"/>
      <w:r>
        <w:t>, meningitis, and cellulitis</w:t>
      </w:r>
    </w:p>
    <w:p w14:paraId="50E1E1D3" w14:textId="77777777" w:rsidR="006317AD" w:rsidRDefault="006317AD" w:rsidP="006317AD">
      <w:pPr>
        <w:pStyle w:val="ListParagraph"/>
        <w:numPr>
          <w:ilvl w:val="0"/>
          <w:numId w:val="3"/>
        </w:numPr>
        <w:spacing w:after="160" w:line="259" w:lineRule="auto"/>
      </w:pPr>
      <w:r>
        <w:t xml:space="preserve">This case series identifies </w:t>
      </w:r>
      <w:r w:rsidRPr="02B6F730">
        <w:rPr>
          <w:i/>
          <w:iCs/>
        </w:rPr>
        <w:t xml:space="preserve">S. </w:t>
      </w:r>
      <w:proofErr w:type="spellStart"/>
      <w:r w:rsidRPr="02B6F730">
        <w:rPr>
          <w:i/>
          <w:iCs/>
        </w:rPr>
        <w:t>phocae</w:t>
      </w:r>
      <w:proofErr w:type="spellEnd"/>
      <w:r w:rsidRPr="02B6F730">
        <w:rPr>
          <w:i/>
          <w:iCs/>
        </w:rPr>
        <w:t xml:space="preserve"> </w:t>
      </w:r>
      <w:r>
        <w:t xml:space="preserve">as a primary pathogen in these dolphins, with first three cases within one year of each other, and last two cases presented 10 </w:t>
      </w:r>
      <w:proofErr w:type="spellStart"/>
      <w:r>
        <w:t>yrs</w:t>
      </w:r>
      <w:proofErr w:type="spellEnd"/>
      <w:r>
        <w:t xml:space="preserve"> later</w:t>
      </w:r>
    </w:p>
    <w:p w14:paraId="04A14B60" w14:textId="77777777" w:rsidR="006317AD" w:rsidRDefault="006317AD" w:rsidP="006317AD">
      <w:pPr>
        <w:pStyle w:val="ListParagraph"/>
        <w:numPr>
          <w:ilvl w:val="1"/>
          <w:numId w:val="3"/>
        </w:numPr>
        <w:spacing w:after="160" w:line="259" w:lineRule="auto"/>
      </w:pPr>
      <w:r>
        <w:t>All cases presented with robust neutrophilia and inflammatory biomarker response and superficial cervical lymphadenitis (</w:t>
      </w:r>
      <w:proofErr w:type="gramStart"/>
      <w:r>
        <w:t>similar to</w:t>
      </w:r>
      <w:proofErr w:type="gramEnd"/>
      <w:r>
        <w:t xml:space="preserve"> equine strangles caused by </w:t>
      </w:r>
      <w:r w:rsidRPr="02B6F730">
        <w:rPr>
          <w:rFonts w:ascii="Calibri" w:eastAsia="Calibri" w:hAnsi="Calibri" w:cs="Calibri"/>
        </w:rPr>
        <w:t xml:space="preserve">β-hemolytic streptococcal species, </w:t>
      </w:r>
      <w:r w:rsidRPr="02B6F730">
        <w:rPr>
          <w:rFonts w:ascii="Calibri" w:eastAsia="Calibri" w:hAnsi="Calibri" w:cs="Calibri"/>
          <w:i/>
          <w:iCs/>
        </w:rPr>
        <w:t xml:space="preserve">Streptococcus </w:t>
      </w:r>
      <w:proofErr w:type="spellStart"/>
      <w:r w:rsidRPr="02B6F730">
        <w:rPr>
          <w:rFonts w:ascii="Calibri" w:eastAsia="Calibri" w:hAnsi="Calibri" w:cs="Calibri"/>
          <w:i/>
          <w:iCs/>
        </w:rPr>
        <w:t>equi</w:t>
      </w:r>
      <w:proofErr w:type="spellEnd"/>
      <w:r w:rsidRPr="02B6F730">
        <w:rPr>
          <w:rFonts w:ascii="Calibri" w:eastAsia="Calibri" w:hAnsi="Calibri" w:cs="Calibri"/>
        </w:rPr>
        <w:t xml:space="preserve"> ssp. </w:t>
      </w:r>
      <w:proofErr w:type="spellStart"/>
      <w:r w:rsidRPr="02B6F730">
        <w:rPr>
          <w:rFonts w:ascii="Calibri" w:eastAsia="Calibri" w:hAnsi="Calibri" w:cs="Calibri"/>
          <w:i/>
          <w:iCs/>
        </w:rPr>
        <w:t>equi</w:t>
      </w:r>
      <w:proofErr w:type="spellEnd"/>
      <w:r w:rsidRPr="02B6F730">
        <w:rPr>
          <w:rFonts w:ascii="Calibri" w:eastAsia="Calibri" w:hAnsi="Calibri" w:cs="Calibri"/>
        </w:rPr>
        <w:t xml:space="preserve">) </w:t>
      </w:r>
      <w:r>
        <w:t xml:space="preserve"> </w:t>
      </w:r>
    </w:p>
    <w:p w14:paraId="3AD54EAF" w14:textId="77777777" w:rsidR="006317AD" w:rsidRDefault="006317AD" w:rsidP="006317AD">
      <w:pPr>
        <w:pStyle w:val="ListParagraph"/>
        <w:numPr>
          <w:ilvl w:val="1"/>
          <w:numId w:val="3"/>
        </w:numPr>
        <w:spacing w:after="160" w:line="259" w:lineRule="auto"/>
      </w:pPr>
      <w:proofErr w:type="gramStart"/>
      <w:r>
        <w:t>Typically</w:t>
      </w:r>
      <w:proofErr w:type="gramEnd"/>
      <w:r>
        <w:t xml:space="preserve"> in equine strangles, antibiotics are not used in simple cases due to concern that it will prevent lymph node rupture and prolong disease. Treatment directed at lymph node drainage. In this case, due to dolphin skin, lymph node rupture and drainage not possible.</w:t>
      </w:r>
    </w:p>
    <w:p w14:paraId="24385AE1" w14:textId="77777777" w:rsidR="006317AD" w:rsidRDefault="006317AD" w:rsidP="006317AD">
      <w:pPr>
        <w:pStyle w:val="ListParagraph"/>
        <w:numPr>
          <w:ilvl w:val="0"/>
          <w:numId w:val="3"/>
        </w:numPr>
        <w:spacing w:after="160" w:line="259" w:lineRule="auto"/>
        <w:rPr>
          <w:rFonts w:ascii="Calibri" w:eastAsia="Calibri" w:hAnsi="Calibri" w:cs="Calibri"/>
        </w:rPr>
      </w:pPr>
      <w:r>
        <w:t xml:space="preserve">Authors recommend cephalosporins and </w:t>
      </w:r>
      <w:r w:rsidRPr="02B6F730">
        <w:rPr>
          <w:rFonts w:ascii="Calibri" w:eastAsia="Calibri" w:hAnsi="Calibri" w:cs="Calibri"/>
        </w:rPr>
        <w:t xml:space="preserve">β-lactams for empirical </w:t>
      </w:r>
      <w:proofErr w:type="spellStart"/>
      <w:r w:rsidRPr="02B6F730">
        <w:rPr>
          <w:rFonts w:ascii="Calibri" w:eastAsia="Calibri" w:hAnsi="Calibri" w:cs="Calibri"/>
        </w:rPr>
        <w:t>mgmt</w:t>
      </w:r>
      <w:proofErr w:type="spellEnd"/>
      <w:r w:rsidRPr="02B6F730">
        <w:rPr>
          <w:rFonts w:ascii="Calibri" w:eastAsia="Calibri" w:hAnsi="Calibri" w:cs="Calibri"/>
        </w:rPr>
        <w:t xml:space="preserve"> of </w:t>
      </w:r>
      <w:r w:rsidRPr="02B6F730">
        <w:rPr>
          <w:rFonts w:ascii="Calibri" w:eastAsia="Calibri" w:hAnsi="Calibri" w:cs="Calibri"/>
          <w:i/>
          <w:iCs/>
        </w:rPr>
        <w:t xml:space="preserve">S. </w:t>
      </w:r>
      <w:proofErr w:type="spellStart"/>
      <w:r w:rsidRPr="02B6F730">
        <w:rPr>
          <w:rFonts w:ascii="Calibri" w:eastAsia="Calibri" w:hAnsi="Calibri" w:cs="Calibri"/>
          <w:i/>
          <w:iCs/>
        </w:rPr>
        <w:t>phocae</w:t>
      </w:r>
      <w:proofErr w:type="spellEnd"/>
      <w:r w:rsidRPr="02B6F730">
        <w:rPr>
          <w:rFonts w:ascii="Calibri" w:eastAsia="Calibri" w:hAnsi="Calibri" w:cs="Calibri"/>
          <w:i/>
          <w:iCs/>
        </w:rPr>
        <w:t xml:space="preserve"> </w:t>
      </w:r>
    </w:p>
    <w:p w14:paraId="21033245" w14:textId="77777777" w:rsidR="006317AD" w:rsidRDefault="006317AD" w:rsidP="006317AD">
      <w:r>
        <w:t xml:space="preserve">Take Home Point: </w:t>
      </w:r>
      <w:r w:rsidRPr="02B6F730">
        <w:rPr>
          <w:i/>
          <w:iCs/>
        </w:rPr>
        <w:t xml:space="preserve">Streptococcus </w:t>
      </w:r>
      <w:proofErr w:type="spellStart"/>
      <w:r w:rsidRPr="02B6F730">
        <w:rPr>
          <w:i/>
          <w:iCs/>
        </w:rPr>
        <w:t>phoacae</w:t>
      </w:r>
      <w:proofErr w:type="spellEnd"/>
      <w:r>
        <w:t xml:space="preserve"> lymphadenitis should be considered as a differential for cervical swelling (visible or identified on ultrasound) and inflammation in </w:t>
      </w:r>
      <w:r w:rsidRPr="02B6F730">
        <w:rPr>
          <w:i/>
          <w:iCs/>
        </w:rPr>
        <w:t xml:space="preserve">Tursiops </w:t>
      </w:r>
      <w:proofErr w:type="spellStart"/>
      <w:r w:rsidRPr="02B6F730">
        <w:rPr>
          <w:i/>
          <w:iCs/>
        </w:rPr>
        <w:t>truncatus</w:t>
      </w:r>
      <w:proofErr w:type="spellEnd"/>
      <w:r>
        <w:t xml:space="preserve">. </w:t>
      </w:r>
    </w:p>
    <w:p w14:paraId="12AC5451" w14:textId="77777777" w:rsidR="006317AD" w:rsidRDefault="006317AD" w:rsidP="006317AD">
      <w:pPr>
        <w:jc w:val="center"/>
      </w:pPr>
      <w:r>
        <w:rPr>
          <w:noProof/>
        </w:rPr>
        <w:lastRenderedPageBreak/>
        <w:drawing>
          <wp:inline distT="0" distB="0" distL="0" distR="0" wp14:anchorId="058CB05E" wp14:editId="0156B582">
            <wp:extent cx="4572000" cy="4114800"/>
            <wp:effectExtent l="0" t="0" r="0" b="0"/>
            <wp:docPr id="2056691035" name="Picture 3" descr="A close-up of ultrasou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91035" name="Picture 2" descr="A close-up of ultrasound imag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4114800"/>
                    </a:xfrm>
                    <a:prstGeom prst="rect">
                      <a:avLst/>
                    </a:prstGeom>
                  </pic:spPr>
                </pic:pic>
              </a:graphicData>
            </a:graphic>
          </wp:inline>
        </w:drawing>
      </w:r>
    </w:p>
    <w:p w14:paraId="1DFEBC84" w14:textId="77777777" w:rsidR="006317AD" w:rsidRDefault="006317AD" w:rsidP="006317AD">
      <w:pPr>
        <w:spacing w:line="240" w:lineRule="auto"/>
        <w:rPr>
          <w:rFonts w:ascii="Times New Roman" w:eastAsia="Times New Roman" w:hAnsi="Times New Roman" w:cs="Times New Roman"/>
        </w:rPr>
      </w:pPr>
      <w:r>
        <w:rPr>
          <w:rFonts w:ascii="Times New Roman" w:eastAsia="Times New Roman" w:hAnsi="Times New Roman" w:cs="Times New Roman"/>
          <w:b/>
          <w:color w:val="222222"/>
          <w:highlight w:val="white"/>
        </w:rPr>
        <w:t xml:space="preserve">Investigation of the use of serum biomarkers for the detection of cardiac disease in marine mammals. </w:t>
      </w:r>
      <w:r>
        <w:rPr>
          <w:rFonts w:ascii="Times New Roman" w:eastAsia="Times New Roman" w:hAnsi="Times New Roman" w:cs="Times New Roman"/>
          <w:color w:val="222222"/>
          <w:highlight w:val="white"/>
        </w:rPr>
        <w:t xml:space="preserve">JZWM 2022;53(2):373-382. </w:t>
      </w:r>
      <w:proofErr w:type="spellStart"/>
      <w:r>
        <w:rPr>
          <w:rFonts w:ascii="Times New Roman" w:eastAsia="Times New Roman" w:hAnsi="Times New Roman" w:cs="Times New Roman"/>
          <w:color w:val="222222"/>
          <w:highlight w:val="white"/>
        </w:rPr>
        <w:t>Joblon</w:t>
      </w:r>
      <w:proofErr w:type="spellEnd"/>
      <w:r>
        <w:rPr>
          <w:rFonts w:ascii="Times New Roman" w:eastAsia="Times New Roman" w:hAnsi="Times New Roman" w:cs="Times New Roman"/>
          <w:color w:val="222222"/>
          <w:highlight w:val="white"/>
        </w:rPr>
        <w:t xml:space="preserve"> MJ, Flower JE, Thompson LA, Biddle KE, Burt DA, </w:t>
      </w:r>
      <w:proofErr w:type="spellStart"/>
      <w:r>
        <w:rPr>
          <w:rFonts w:ascii="Times New Roman" w:eastAsia="Times New Roman" w:hAnsi="Times New Roman" w:cs="Times New Roman"/>
          <w:color w:val="222222"/>
          <w:highlight w:val="white"/>
        </w:rPr>
        <w:t>Zabka</w:t>
      </w:r>
      <w:proofErr w:type="spellEnd"/>
      <w:r>
        <w:rPr>
          <w:rFonts w:ascii="Times New Roman" w:eastAsia="Times New Roman" w:hAnsi="Times New Roman" w:cs="Times New Roman"/>
          <w:color w:val="222222"/>
          <w:highlight w:val="white"/>
        </w:rPr>
        <w:t xml:space="preserve"> TS, </w:t>
      </w:r>
      <w:proofErr w:type="spellStart"/>
      <w:r>
        <w:rPr>
          <w:rFonts w:ascii="Times New Roman" w:eastAsia="Times New Roman" w:hAnsi="Times New Roman" w:cs="Times New Roman"/>
          <w:color w:val="222222"/>
          <w:highlight w:val="white"/>
        </w:rPr>
        <w:t>Adkesson</w:t>
      </w:r>
      <w:proofErr w:type="spellEnd"/>
      <w:r>
        <w:rPr>
          <w:rFonts w:ascii="Times New Roman" w:eastAsia="Times New Roman" w:hAnsi="Times New Roman" w:cs="Times New Roman"/>
          <w:color w:val="222222"/>
          <w:highlight w:val="white"/>
        </w:rPr>
        <w:t xml:space="preserve"> MJ, </w:t>
      </w:r>
      <w:proofErr w:type="spellStart"/>
      <w:r>
        <w:rPr>
          <w:rFonts w:ascii="Times New Roman" w:eastAsia="Times New Roman" w:hAnsi="Times New Roman" w:cs="Times New Roman"/>
          <w:color w:val="222222"/>
          <w:highlight w:val="white"/>
        </w:rPr>
        <w:t>Halaska</w:t>
      </w:r>
      <w:proofErr w:type="spellEnd"/>
      <w:r>
        <w:rPr>
          <w:rFonts w:ascii="Times New Roman" w:eastAsia="Times New Roman" w:hAnsi="Times New Roman" w:cs="Times New Roman"/>
          <w:color w:val="222222"/>
          <w:highlight w:val="white"/>
        </w:rPr>
        <w:t xml:space="preserve"> B, Goertz CE, Rouse N, Cahoon S</w:t>
      </w:r>
      <w:r>
        <w:rPr>
          <w:rFonts w:ascii="Times New Roman" w:eastAsia="Times New Roman" w:hAnsi="Times New Roman" w:cs="Times New Roman"/>
          <w:color w:val="222222"/>
        </w:rPr>
        <w:t xml:space="preserve">N. - review by </w:t>
      </w:r>
      <w:proofErr w:type="spellStart"/>
      <w:r>
        <w:rPr>
          <w:rFonts w:ascii="Times New Roman" w:eastAsia="Times New Roman" w:hAnsi="Times New Roman" w:cs="Times New Roman"/>
          <w:color w:val="222222"/>
        </w:rPr>
        <w:t>LMumm</w:t>
      </w:r>
      <w:proofErr w:type="spellEnd"/>
    </w:p>
    <w:p w14:paraId="5092C375" w14:textId="77777777" w:rsidR="006317AD" w:rsidRDefault="006317AD" w:rsidP="006317AD">
      <w:pPr>
        <w:spacing w:line="240" w:lineRule="auto"/>
        <w:rPr>
          <w:rFonts w:ascii="Times New Roman" w:eastAsia="Times New Roman" w:hAnsi="Times New Roman" w:cs="Times New Roman"/>
          <w:highlight w:val="white"/>
        </w:rPr>
      </w:pPr>
    </w:p>
    <w:p w14:paraId="29613F7D" w14:textId="77777777" w:rsidR="006317AD" w:rsidRDefault="006317AD" w:rsidP="006317AD">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Abstract: Cardiac disease has been extensively documented in marine mammals; however, it remains difficult to diagnose antemortem. A</w:t>
      </w:r>
      <w:r>
        <w:rPr>
          <w:rFonts w:ascii="Times New Roman" w:eastAsia="Times New Roman" w:hAnsi="Times New Roman" w:cs="Times New Roman"/>
        </w:rPr>
        <w:t>ssays measuring cardiac troponin I (</w:t>
      </w:r>
      <w:proofErr w:type="spellStart"/>
      <w:r>
        <w:rPr>
          <w:rFonts w:ascii="Times New Roman" w:eastAsia="Times New Roman" w:hAnsi="Times New Roman" w:cs="Times New Roman"/>
        </w:rPr>
        <w:t>cTnI</w:t>
      </w:r>
      <w:proofErr w:type="spellEnd"/>
      <w:r>
        <w:rPr>
          <w:rFonts w:ascii="Times New Roman" w:eastAsia="Times New Roman" w:hAnsi="Times New Roman" w:cs="Times New Roman"/>
        </w:rPr>
        <w:t>) and N-terminal pro-brain natriuretic peptide (NT-</w:t>
      </w:r>
      <w:proofErr w:type="spellStart"/>
      <w:r>
        <w:rPr>
          <w:rFonts w:ascii="Times New Roman" w:eastAsia="Times New Roman" w:hAnsi="Times New Roman" w:cs="Times New Roman"/>
        </w:rPr>
        <w:t>proBNP</w:t>
      </w:r>
      <w:proofErr w:type="spellEnd"/>
      <w:r>
        <w:rPr>
          <w:rFonts w:ascii="Times New Roman" w:eastAsia="Times New Roman" w:hAnsi="Times New Roman" w:cs="Times New Roman"/>
        </w:rPr>
        <w:t>) are</w:t>
      </w:r>
      <w:r>
        <w:rPr>
          <w:rFonts w:ascii="Times New Roman" w:eastAsia="Times New Roman" w:hAnsi="Times New Roman" w:cs="Times New Roman"/>
          <w:highlight w:val="white"/>
        </w:rPr>
        <w:t xml:space="preserve"> used as sensitive and specific biomarkers of cardiac disease in many </w:t>
      </w:r>
      <w:proofErr w:type="gramStart"/>
      <w:r>
        <w:rPr>
          <w:rFonts w:ascii="Times New Roman" w:eastAsia="Times New Roman" w:hAnsi="Times New Roman" w:cs="Times New Roman"/>
          <w:highlight w:val="white"/>
        </w:rPr>
        <w:t>species, but</w:t>
      </w:r>
      <w:proofErr w:type="gramEnd"/>
      <w:r>
        <w:rPr>
          <w:rFonts w:ascii="Times New Roman" w:eastAsia="Times New Roman" w:hAnsi="Times New Roman" w:cs="Times New Roman"/>
          <w:highlight w:val="white"/>
        </w:rPr>
        <w:t xml:space="preserve"> have not been widely investigated in marine mammals. </w:t>
      </w:r>
      <w:r>
        <w:rPr>
          <w:rFonts w:ascii="Times New Roman" w:eastAsia="Times New Roman" w:hAnsi="Times New Roman" w:cs="Times New Roman"/>
          <w:highlight w:val="yellow"/>
        </w:rPr>
        <w:t xml:space="preserve">This study aimed to provide a set of reference values for </w:t>
      </w:r>
      <w:proofErr w:type="spellStart"/>
      <w:r>
        <w:rPr>
          <w:rFonts w:ascii="Times New Roman" w:eastAsia="Times New Roman" w:hAnsi="Times New Roman" w:cs="Times New Roman"/>
          <w:highlight w:val="yellow"/>
        </w:rPr>
        <w:t>cTnI</w:t>
      </w:r>
      <w:proofErr w:type="spellEnd"/>
      <w:r>
        <w:rPr>
          <w:rFonts w:ascii="Times New Roman" w:eastAsia="Times New Roman" w:hAnsi="Times New Roman" w:cs="Times New Roman"/>
          <w:highlight w:val="yellow"/>
        </w:rPr>
        <w:t xml:space="preserve"> and NT-</w:t>
      </w:r>
      <w:proofErr w:type="spellStart"/>
      <w:r>
        <w:rPr>
          <w:rFonts w:ascii="Times New Roman" w:eastAsia="Times New Roman" w:hAnsi="Times New Roman" w:cs="Times New Roman"/>
          <w:highlight w:val="yellow"/>
        </w:rPr>
        <w:t>proBNP</w:t>
      </w:r>
      <w:proofErr w:type="spellEnd"/>
      <w:r>
        <w:rPr>
          <w:rFonts w:ascii="Times New Roman" w:eastAsia="Times New Roman" w:hAnsi="Times New Roman" w:cs="Times New Roman"/>
          <w:highlight w:val="yellow"/>
        </w:rPr>
        <w:t xml:space="preserve"> in belugas (BW) (Delphinapterus leucas), sea otters (SO) (Enhydra lutris), Steller sea lions (SSL) (</w:t>
      </w:r>
      <w:proofErr w:type="spellStart"/>
      <w:r>
        <w:rPr>
          <w:rFonts w:ascii="Times New Roman" w:eastAsia="Times New Roman" w:hAnsi="Times New Roman" w:cs="Times New Roman"/>
          <w:highlight w:val="yellow"/>
        </w:rPr>
        <w:t>Eumetopias</w:t>
      </w:r>
      <w:proofErr w:type="spellEnd"/>
      <w:r>
        <w:rPr>
          <w:rFonts w:ascii="Times New Roman" w:eastAsia="Times New Roman" w:hAnsi="Times New Roman" w:cs="Times New Roman"/>
          <w:highlight w:val="yellow"/>
        </w:rPr>
        <w:t xml:space="preserve"> jubatus), and California sea lions (CSL) (Zalophus californianus) with and without cardiac disease (banked samples),</w:t>
      </w:r>
      <w:r>
        <w:rPr>
          <w:rFonts w:ascii="Times New Roman" w:eastAsia="Times New Roman" w:hAnsi="Times New Roman" w:cs="Times New Roman"/>
          <w:highlight w:val="white"/>
        </w:rPr>
        <w:t xml:space="preserve"> and to determine if these biomarkers are useful indicators of cardiac disease in these sp</w:t>
      </w:r>
      <w:r>
        <w:rPr>
          <w:rFonts w:ascii="Times New Roman" w:eastAsia="Times New Roman" w:hAnsi="Times New Roman" w:cs="Times New Roman"/>
        </w:rPr>
        <w:t xml:space="preserve">ecies. First, existing immunoassays for </w:t>
      </w:r>
      <w:proofErr w:type="spellStart"/>
      <w:r>
        <w:rPr>
          <w:rFonts w:ascii="Times New Roman" w:eastAsia="Times New Roman" w:hAnsi="Times New Roman" w:cs="Times New Roman"/>
        </w:rPr>
        <w:t>cTnI</w:t>
      </w:r>
      <w:proofErr w:type="spellEnd"/>
      <w:r>
        <w:rPr>
          <w:rFonts w:ascii="Times New Roman" w:eastAsia="Times New Roman" w:hAnsi="Times New Roman" w:cs="Times New Roman"/>
        </w:rPr>
        <w:t xml:space="preserve"> and NT-</w:t>
      </w:r>
      <w:proofErr w:type="spellStart"/>
      <w:r>
        <w:rPr>
          <w:rFonts w:ascii="Times New Roman" w:eastAsia="Times New Roman" w:hAnsi="Times New Roman" w:cs="Times New Roman"/>
        </w:rPr>
        <w:t>proBNP</w:t>
      </w:r>
      <w:proofErr w:type="spellEnd"/>
      <w:r>
        <w:rPr>
          <w:rFonts w:ascii="Times New Roman" w:eastAsia="Times New Roman" w:hAnsi="Times New Roman" w:cs="Times New Roman"/>
        </w:rPr>
        <w:t xml:space="preserve"> were successfully validated utilizing species-specific heart lysate spiked serum. Cohorts were defined by histopathology as animals with no evidence of cardiac disease (‘‘control’’), with confirmed cardiac disease (‘‘disease’’), and with concurrent renal and cardiac disease (‘‘renal’’) f</w:t>
      </w:r>
      <w:r>
        <w:rPr>
          <w:rFonts w:ascii="Times New Roman" w:eastAsia="Times New Roman" w:hAnsi="Times New Roman" w:cs="Times New Roman"/>
          <w:highlight w:val="white"/>
        </w:rPr>
        <w:t xml:space="preserve">or which serum samples were then analyzed. Serum concentration ranges for </w:t>
      </w:r>
      <w:proofErr w:type="spellStart"/>
      <w:r>
        <w:rPr>
          <w:rFonts w:ascii="Times New Roman" w:eastAsia="Times New Roman" w:hAnsi="Times New Roman" w:cs="Times New Roman"/>
          <w:highlight w:val="white"/>
        </w:rPr>
        <w:t>cTnI</w:t>
      </w:r>
      <w:proofErr w:type="spellEnd"/>
      <w:r>
        <w:rPr>
          <w:rFonts w:ascii="Times New Roman" w:eastAsia="Times New Roman" w:hAnsi="Times New Roman" w:cs="Times New Roman"/>
          <w:highlight w:val="white"/>
        </w:rPr>
        <w:t xml:space="preserve"> (ng/ml) and NT-</w:t>
      </w:r>
      <w:proofErr w:type="spellStart"/>
      <w:r>
        <w:rPr>
          <w:rFonts w:ascii="Times New Roman" w:eastAsia="Times New Roman" w:hAnsi="Times New Roman" w:cs="Times New Roman"/>
          <w:highlight w:val="white"/>
        </w:rPr>
        <w:t>proBNP</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pmol</w:t>
      </w:r>
      <w:proofErr w:type="spellEnd"/>
      <w:r>
        <w:rPr>
          <w:rFonts w:ascii="Times New Roman" w:eastAsia="Times New Roman" w:hAnsi="Times New Roman" w:cs="Times New Roman"/>
          <w:highlight w:val="white"/>
        </w:rPr>
        <w:t xml:space="preserve">/L) were determined for control and disease cohorts. </w:t>
      </w:r>
      <w:r>
        <w:rPr>
          <w:rFonts w:ascii="Times New Roman" w:eastAsia="Times New Roman" w:hAnsi="Times New Roman" w:cs="Times New Roman"/>
          <w:highlight w:val="yellow"/>
        </w:rPr>
        <w:t xml:space="preserve">There was significantly higher </w:t>
      </w:r>
      <w:proofErr w:type="spellStart"/>
      <w:r>
        <w:rPr>
          <w:rFonts w:ascii="Times New Roman" w:eastAsia="Times New Roman" w:hAnsi="Times New Roman" w:cs="Times New Roman"/>
          <w:highlight w:val="yellow"/>
        </w:rPr>
        <w:t>cTnI</w:t>
      </w:r>
      <w:proofErr w:type="spellEnd"/>
      <w:r>
        <w:rPr>
          <w:rFonts w:ascii="Times New Roman" w:eastAsia="Times New Roman" w:hAnsi="Times New Roman" w:cs="Times New Roman"/>
          <w:highlight w:val="yellow"/>
        </w:rPr>
        <w:t xml:space="preserve"> (P = 0.003) and NT-</w:t>
      </w:r>
      <w:proofErr w:type="spellStart"/>
      <w:r>
        <w:rPr>
          <w:rFonts w:ascii="Times New Roman" w:eastAsia="Times New Roman" w:hAnsi="Times New Roman" w:cs="Times New Roman"/>
          <w:highlight w:val="yellow"/>
        </w:rPr>
        <w:t>proBNP</w:t>
      </w:r>
      <w:proofErr w:type="spellEnd"/>
      <w:r>
        <w:rPr>
          <w:rFonts w:ascii="Times New Roman" w:eastAsia="Times New Roman" w:hAnsi="Times New Roman" w:cs="Times New Roman"/>
          <w:highlight w:val="yellow"/>
        </w:rPr>
        <w:t xml:space="preserve"> (P = 0.004) concentrations in the CSL disease cohort</w:t>
      </w:r>
      <w:r>
        <w:rPr>
          <w:rFonts w:ascii="Times New Roman" w:eastAsia="Times New Roman" w:hAnsi="Times New Roman" w:cs="Times New Roman"/>
          <w:highlight w:val="white"/>
        </w:rPr>
        <w:t xml:space="preserve">, as well as positive trends in BW, SO, and SSL disease cohorts that did not reach statistical significance. </w:t>
      </w:r>
      <w:r>
        <w:rPr>
          <w:rFonts w:ascii="Times New Roman" w:eastAsia="Times New Roman" w:hAnsi="Times New Roman" w:cs="Times New Roman"/>
          <w:highlight w:val="yellow"/>
        </w:rPr>
        <w:t>NT-</w:t>
      </w:r>
      <w:proofErr w:type="spellStart"/>
      <w:r>
        <w:rPr>
          <w:rFonts w:ascii="Times New Roman" w:eastAsia="Times New Roman" w:hAnsi="Times New Roman" w:cs="Times New Roman"/>
          <w:highlight w:val="yellow"/>
        </w:rPr>
        <w:t>proBNP</w:t>
      </w:r>
      <w:proofErr w:type="spellEnd"/>
      <w:r>
        <w:rPr>
          <w:rFonts w:ascii="Times New Roman" w:eastAsia="Times New Roman" w:hAnsi="Times New Roman" w:cs="Times New Roman"/>
          <w:highlight w:val="yellow"/>
        </w:rPr>
        <w:t xml:space="preserve"> concentrations were significantly higher in the CSL renal cohort compared with the control (</w:t>
      </w:r>
      <w:proofErr w:type="gramStart"/>
      <w:r>
        <w:rPr>
          <w:rFonts w:ascii="Times New Roman" w:eastAsia="Times New Roman" w:hAnsi="Times New Roman" w:cs="Times New Roman"/>
          <w:highlight w:val="yellow"/>
        </w:rPr>
        <w:t>P ,</w:t>
      </w:r>
      <w:proofErr w:type="gramEnd"/>
      <w:r>
        <w:rPr>
          <w:rFonts w:ascii="Times New Roman" w:eastAsia="Times New Roman" w:hAnsi="Times New Roman" w:cs="Times New Roman"/>
          <w:highlight w:val="yellow"/>
        </w:rPr>
        <w:t xml:space="preserve"> 0.001) and disease (P = 0.007) cohorts. </w:t>
      </w:r>
      <w:r>
        <w:rPr>
          <w:rFonts w:ascii="Times New Roman" w:eastAsia="Times New Roman" w:hAnsi="Times New Roman" w:cs="Times New Roman"/>
          <w:b/>
          <w:highlight w:val="yellow"/>
        </w:rPr>
        <w:t xml:space="preserve">These results suggest that </w:t>
      </w:r>
      <w:proofErr w:type="spellStart"/>
      <w:r>
        <w:rPr>
          <w:rFonts w:ascii="Times New Roman" w:eastAsia="Times New Roman" w:hAnsi="Times New Roman" w:cs="Times New Roman"/>
          <w:b/>
          <w:highlight w:val="yellow"/>
        </w:rPr>
        <w:t>cTnI</w:t>
      </w:r>
      <w:proofErr w:type="spellEnd"/>
      <w:r>
        <w:rPr>
          <w:rFonts w:ascii="Times New Roman" w:eastAsia="Times New Roman" w:hAnsi="Times New Roman" w:cs="Times New Roman"/>
          <w:b/>
          <w:highlight w:val="yellow"/>
        </w:rPr>
        <w:t xml:space="preserve"> and NT-</w:t>
      </w:r>
      <w:proofErr w:type="spellStart"/>
      <w:r>
        <w:rPr>
          <w:rFonts w:ascii="Times New Roman" w:eastAsia="Times New Roman" w:hAnsi="Times New Roman" w:cs="Times New Roman"/>
          <w:b/>
          <w:highlight w:val="yellow"/>
        </w:rPr>
        <w:t>proBNP</w:t>
      </w:r>
      <w:proofErr w:type="spellEnd"/>
      <w:r>
        <w:rPr>
          <w:rFonts w:ascii="Times New Roman" w:eastAsia="Times New Roman" w:hAnsi="Times New Roman" w:cs="Times New Roman"/>
          <w:b/>
          <w:highlight w:val="yellow"/>
        </w:rPr>
        <w:t xml:space="preserve"> may be clinically useful in the antemortem diagnosis of cardiac disease in CSL</w:t>
      </w:r>
      <w:r>
        <w:rPr>
          <w:rFonts w:ascii="Times New Roman" w:eastAsia="Times New Roman" w:hAnsi="Times New Roman" w:cs="Times New Roman"/>
          <w:highlight w:val="white"/>
        </w:rPr>
        <w:t>, and warrant further investigation in BW, SO, and SL.</w:t>
      </w:r>
    </w:p>
    <w:p w14:paraId="12CD6C0A" w14:textId="77777777" w:rsidR="006317AD" w:rsidRDefault="006317AD" w:rsidP="006317AD">
      <w:pPr>
        <w:spacing w:line="240" w:lineRule="auto"/>
        <w:rPr>
          <w:rFonts w:ascii="Times New Roman" w:eastAsia="Times New Roman" w:hAnsi="Times New Roman" w:cs="Times New Roman"/>
          <w:highlight w:val="white"/>
        </w:rPr>
      </w:pPr>
    </w:p>
    <w:p w14:paraId="6DB67600" w14:textId="77777777" w:rsidR="006317AD" w:rsidRDefault="006317AD" w:rsidP="006317AD">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Background</w:t>
      </w:r>
    </w:p>
    <w:p w14:paraId="0BD9CAF3" w14:textId="77777777" w:rsidR="006317AD" w:rsidRDefault="006317AD" w:rsidP="006317AD">
      <w:pPr>
        <w:numPr>
          <w:ilvl w:val="0"/>
          <w:numId w:val="6"/>
        </w:numPr>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Cardiac troponin subunit I (</w:t>
      </w:r>
      <w:proofErr w:type="spellStart"/>
      <w:r>
        <w:rPr>
          <w:rFonts w:ascii="Times New Roman" w:eastAsia="Times New Roman" w:hAnsi="Times New Roman" w:cs="Times New Roman"/>
          <w:b/>
          <w:highlight w:val="white"/>
        </w:rPr>
        <w:t>cTnI</w:t>
      </w:r>
      <w:proofErr w:type="spellEnd"/>
      <w:r>
        <w:rPr>
          <w:rFonts w:ascii="Times New Roman" w:eastAsia="Times New Roman" w:hAnsi="Times New Roman" w:cs="Times New Roman"/>
          <w:b/>
          <w:highlight w:val="white"/>
        </w:rPr>
        <w:t>) - protein specific to myocardium, released in circulation following cardiomyocyte injury</w:t>
      </w:r>
    </w:p>
    <w:p w14:paraId="3D4B83F3" w14:textId="77777777" w:rsidR="006317AD" w:rsidRDefault="006317AD" w:rsidP="006317AD">
      <w:pPr>
        <w:numPr>
          <w:ilvl w:val="1"/>
          <w:numId w:val="6"/>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Considered gold standard in humans/vet </w:t>
      </w:r>
      <w:proofErr w:type="gramStart"/>
      <w:r>
        <w:rPr>
          <w:rFonts w:ascii="Times New Roman" w:eastAsia="Times New Roman" w:hAnsi="Times New Roman" w:cs="Times New Roman"/>
          <w:highlight w:val="white"/>
        </w:rPr>
        <w:t>med;</w:t>
      </w:r>
      <w:proofErr w:type="gramEnd"/>
      <w:r>
        <w:rPr>
          <w:rFonts w:ascii="Times New Roman" w:eastAsia="Times New Roman" w:hAnsi="Times New Roman" w:cs="Times New Roman"/>
          <w:highlight w:val="white"/>
        </w:rPr>
        <w:t xml:space="preserve"> diagnostic and prognostic value </w:t>
      </w:r>
    </w:p>
    <w:p w14:paraId="1511D98C" w14:textId="77777777" w:rsidR="006317AD" w:rsidRDefault="006317AD" w:rsidP="006317AD">
      <w:pPr>
        <w:numPr>
          <w:ilvl w:val="1"/>
          <w:numId w:val="6"/>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Canine - normal &lt;0.07 ng/mL, high &gt;0.1 ng/ml, highly suggestive of cardiac disease &gt;2</w:t>
      </w:r>
    </w:p>
    <w:p w14:paraId="68D38249" w14:textId="77777777" w:rsidR="006317AD" w:rsidRDefault="006317AD" w:rsidP="006317AD">
      <w:pPr>
        <w:numPr>
          <w:ilvl w:val="0"/>
          <w:numId w:val="6"/>
        </w:numPr>
        <w:spacing w:line="240"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N-Terminal pro-B-type Natriuretic Peptide (NT-</w:t>
      </w:r>
      <w:proofErr w:type="spellStart"/>
      <w:r>
        <w:rPr>
          <w:rFonts w:ascii="Times New Roman" w:eastAsia="Times New Roman" w:hAnsi="Times New Roman" w:cs="Times New Roman"/>
          <w:b/>
          <w:highlight w:val="white"/>
        </w:rPr>
        <w:t>proBNP</w:t>
      </w:r>
      <w:proofErr w:type="spellEnd"/>
      <w:r>
        <w:rPr>
          <w:rFonts w:ascii="Times New Roman" w:eastAsia="Times New Roman" w:hAnsi="Times New Roman" w:cs="Times New Roman"/>
          <w:b/>
          <w:highlight w:val="white"/>
        </w:rPr>
        <w:t>) - prohormone increases in circulation with myocardial stretch</w:t>
      </w:r>
    </w:p>
    <w:p w14:paraId="153A0DBA" w14:textId="77777777" w:rsidR="006317AD" w:rsidRDefault="006317AD" w:rsidP="006317AD">
      <w:pPr>
        <w:numPr>
          <w:ilvl w:val="1"/>
          <w:numId w:val="6"/>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Correlates with degree of LV dysfunction, increasing heart size, CHF</w:t>
      </w:r>
    </w:p>
    <w:p w14:paraId="6F2D5EED" w14:textId="77777777" w:rsidR="006317AD" w:rsidRDefault="006317AD" w:rsidP="006317AD">
      <w:pPr>
        <w:numPr>
          <w:ilvl w:val="1"/>
          <w:numId w:val="6"/>
        </w:numPr>
        <w:spacing w:line="240"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Also elevated with renal disease</w:t>
      </w:r>
      <w:r>
        <w:rPr>
          <w:rFonts w:ascii="Times New Roman" w:eastAsia="Times New Roman" w:hAnsi="Times New Roman" w:cs="Times New Roman"/>
          <w:highlight w:val="white"/>
        </w:rPr>
        <w:t xml:space="preserve"> (due to decreased renal excretion and potentially renal hypertension leading to ventricular hypertrophy and cardiomyocyte stretch)</w:t>
      </w:r>
    </w:p>
    <w:p w14:paraId="3A9F9971" w14:textId="77777777" w:rsidR="006317AD" w:rsidRDefault="006317AD" w:rsidP="006317AD">
      <w:pPr>
        <w:numPr>
          <w:ilvl w:val="1"/>
          <w:numId w:val="6"/>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Canine - normal &lt; 800 </w:t>
      </w:r>
      <w:proofErr w:type="spellStart"/>
      <w:r>
        <w:rPr>
          <w:rFonts w:ascii="Times New Roman" w:eastAsia="Times New Roman" w:hAnsi="Times New Roman" w:cs="Times New Roman"/>
          <w:highlight w:val="white"/>
        </w:rPr>
        <w:t>pmol</w:t>
      </w:r>
      <w:proofErr w:type="spellEnd"/>
      <w:r>
        <w:rPr>
          <w:rFonts w:ascii="Times New Roman" w:eastAsia="Times New Roman" w:hAnsi="Times New Roman" w:cs="Times New Roman"/>
          <w:highlight w:val="white"/>
        </w:rPr>
        <w:t xml:space="preserve">/L, high 800-1800, indicative of CHF &gt; 2700 </w:t>
      </w:r>
      <w:proofErr w:type="spellStart"/>
      <w:r>
        <w:rPr>
          <w:rFonts w:ascii="Times New Roman" w:eastAsia="Times New Roman" w:hAnsi="Times New Roman" w:cs="Times New Roman"/>
          <w:highlight w:val="white"/>
        </w:rPr>
        <w:t>pmol</w:t>
      </w:r>
      <w:proofErr w:type="spellEnd"/>
      <w:r>
        <w:rPr>
          <w:rFonts w:ascii="Times New Roman" w:eastAsia="Times New Roman" w:hAnsi="Times New Roman" w:cs="Times New Roman"/>
          <w:highlight w:val="white"/>
        </w:rPr>
        <w:t>/L</w:t>
      </w:r>
    </w:p>
    <w:p w14:paraId="17CE5AE5" w14:textId="77777777" w:rsidR="006317AD" w:rsidRDefault="006317AD" w:rsidP="006317AD">
      <w:pPr>
        <w:numPr>
          <w:ilvl w:val="0"/>
          <w:numId w:val="6"/>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Heart disease reported in marine mammals: myocardial fibrosis, myocarditis, HW, endocarditis (parasitic and bacterial), acute stranding, capture myopathy, and specifically DA associated DCM and </w:t>
      </w:r>
      <w:proofErr w:type="spellStart"/>
      <w:r>
        <w:rPr>
          <w:rFonts w:ascii="Times New Roman" w:eastAsia="Times New Roman" w:hAnsi="Times New Roman" w:cs="Times New Roman"/>
          <w:i/>
          <w:highlight w:val="white"/>
        </w:rPr>
        <w:t>Sarcocystis</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neurona</w:t>
      </w:r>
      <w:proofErr w:type="spellEnd"/>
      <w:r>
        <w:rPr>
          <w:rFonts w:ascii="Times New Roman" w:eastAsia="Times New Roman" w:hAnsi="Times New Roman" w:cs="Times New Roman"/>
          <w:highlight w:val="white"/>
        </w:rPr>
        <w:t xml:space="preserve"> in southern sea otters</w:t>
      </w:r>
    </w:p>
    <w:p w14:paraId="6281CAAC" w14:textId="77777777" w:rsidR="006317AD" w:rsidRDefault="006317AD" w:rsidP="006317AD">
      <w:pPr>
        <w:numPr>
          <w:ilvl w:val="1"/>
          <w:numId w:val="6"/>
        </w:numPr>
        <w:spacing w:line="240" w:lineRule="auto"/>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cTnI</w:t>
      </w:r>
      <w:proofErr w:type="spellEnd"/>
      <w:r>
        <w:rPr>
          <w:rFonts w:ascii="Times New Roman" w:eastAsia="Times New Roman" w:hAnsi="Times New Roman" w:cs="Times New Roman"/>
          <w:highlight w:val="white"/>
        </w:rPr>
        <w:t xml:space="preserve"> previously promising in sea otters (Moriarty et al. AJVR 2021)</w:t>
      </w:r>
      <w:r>
        <w:rPr>
          <w:rFonts w:ascii="Times New Roman" w:eastAsia="Times New Roman" w:hAnsi="Times New Roman" w:cs="Times New Roman"/>
          <w:highlight w:val="white"/>
        </w:rPr>
        <w:br/>
      </w:r>
    </w:p>
    <w:p w14:paraId="28490D44" w14:textId="77777777" w:rsidR="006317AD" w:rsidRDefault="006317AD" w:rsidP="006317AD">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Methods: performed </w:t>
      </w:r>
      <w:proofErr w:type="spellStart"/>
      <w:r>
        <w:rPr>
          <w:rFonts w:ascii="Times New Roman" w:eastAsia="Times New Roman" w:hAnsi="Times New Roman" w:cs="Times New Roman"/>
          <w:highlight w:val="white"/>
        </w:rPr>
        <w:t>cTnI</w:t>
      </w:r>
      <w:proofErr w:type="spellEnd"/>
      <w:r>
        <w:rPr>
          <w:rFonts w:ascii="Times New Roman" w:eastAsia="Times New Roman" w:hAnsi="Times New Roman" w:cs="Times New Roman"/>
          <w:highlight w:val="white"/>
        </w:rPr>
        <w:t xml:space="preserve"> and NT-</w:t>
      </w:r>
      <w:proofErr w:type="spellStart"/>
      <w:r>
        <w:rPr>
          <w:rFonts w:ascii="Times New Roman" w:eastAsia="Times New Roman" w:hAnsi="Times New Roman" w:cs="Times New Roman"/>
          <w:highlight w:val="white"/>
        </w:rPr>
        <w:t>proBNP</w:t>
      </w:r>
      <w:proofErr w:type="spellEnd"/>
      <w:r>
        <w:rPr>
          <w:rFonts w:ascii="Times New Roman" w:eastAsia="Times New Roman" w:hAnsi="Times New Roman" w:cs="Times New Roman"/>
          <w:highlight w:val="white"/>
        </w:rPr>
        <w:t xml:space="preserve"> on stored frozen serum samples from captive and live-stranded belugas (n=12), sea otters (n=23), stellar sea lions (n=10), and CSLs (n=40) </w:t>
      </w:r>
    </w:p>
    <w:p w14:paraId="158EA8F2" w14:textId="77777777" w:rsidR="006317AD" w:rsidRDefault="006317AD" w:rsidP="006317AD">
      <w:pPr>
        <w:numPr>
          <w:ilvl w:val="0"/>
          <w:numId w:val="7"/>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Deemed healthy “control” if no evidence on </w:t>
      </w:r>
      <w:proofErr w:type="spellStart"/>
      <w:r>
        <w:rPr>
          <w:rFonts w:ascii="Times New Roman" w:eastAsia="Times New Roman" w:hAnsi="Times New Roman" w:cs="Times New Roman"/>
          <w:highlight w:val="white"/>
        </w:rPr>
        <w:t>histopath</w:t>
      </w:r>
      <w:proofErr w:type="spellEnd"/>
      <w:r>
        <w:rPr>
          <w:rFonts w:ascii="Times New Roman" w:eastAsia="Times New Roman" w:hAnsi="Times New Roman" w:cs="Times New Roman"/>
          <w:highlight w:val="white"/>
        </w:rPr>
        <w:t xml:space="preserve"> or alive/healthy, “disease” if confirmed cardiac disease on </w:t>
      </w:r>
      <w:proofErr w:type="spellStart"/>
      <w:r>
        <w:rPr>
          <w:rFonts w:ascii="Times New Roman" w:eastAsia="Times New Roman" w:hAnsi="Times New Roman" w:cs="Times New Roman"/>
          <w:highlight w:val="white"/>
        </w:rPr>
        <w:t>histopath</w:t>
      </w:r>
      <w:proofErr w:type="spellEnd"/>
      <w:r>
        <w:rPr>
          <w:rFonts w:ascii="Times New Roman" w:eastAsia="Times New Roman" w:hAnsi="Times New Roman" w:cs="Times New Roman"/>
          <w:highlight w:val="white"/>
        </w:rPr>
        <w:t xml:space="preserve">, and “renal” if cardiac and renal disease confirmed on </w:t>
      </w:r>
      <w:proofErr w:type="spellStart"/>
      <w:r>
        <w:rPr>
          <w:rFonts w:ascii="Times New Roman" w:eastAsia="Times New Roman" w:hAnsi="Times New Roman" w:cs="Times New Roman"/>
          <w:highlight w:val="white"/>
        </w:rPr>
        <w:t>histopath</w:t>
      </w:r>
      <w:proofErr w:type="spellEnd"/>
    </w:p>
    <w:p w14:paraId="1CF40B15" w14:textId="77777777" w:rsidR="006317AD" w:rsidRDefault="006317AD" w:rsidP="006317AD">
      <w:pPr>
        <w:spacing w:line="240" w:lineRule="auto"/>
        <w:rPr>
          <w:rFonts w:ascii="Times New Roman" w:eastAsia="Times New Roman" w:hAnsi="Times New Roman" w:cs="Times New Roman"/>
          <w:highlight w:val="white"/>
        </w:rPr>
      </w:pPr>
    </w:p>
    <w:p w14:paraId="5959DCD3" w14:textId="77777777" w:rsidR="006317AD" w:rsidRDefault="006317AD" w:rsidP="006317AD">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Key Points</w:t>
      </w:r>
    </w:p>
    <w:p w14:paraId="67796D55" w14:textId="77777777" w:rsidR="006317AD" w:rsidRDefault="006317AD" w:rsidP="006317AD">
      <w:pPr>
        <w:numPr>
          <w:ilvl w:val="0"/>
          <w:numId w:val="8"/>
        </w:numPr>
        <w:spacing w:line="240" w:lineRule="auto"/>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cTnI</w:t>
      </w:r>
      <w:proofErr w:type="spellEnd"/>
      <w:r>
        <w:rPr>
          <w:rFonts w:ascii="Times New Roman" w:eastAsia="Times New Roman" w:hAnsi="Times New Roman" w:cs="Times New Roman"/>
          <w:highlight w:val="white"/>
        </w:rPr>
        <w:t xml:space="preserve"> and NT-</w:t>
      </w:r>
      <w:proofErr w:type="spellStart"/>
      <w:r>
        <w:rPr>
          <w:rFonts w:ascii="Times New Roman" w:eastAsia="Times New Roman" w:hAnsi="Times New Roman" w:cs="Times New Roman"/>
          <w:highlight w:val="white"/>
        </w:rPr>
        <w:t>proBNP</w:t>
      </w:r>
      <w:proofErr w:type="spellEnd"/>
      <w:r>
        <w:rPr>
          <w:rFonts w:ascii="Times New Roman" w:eastAsia="Times New Roman" w:hAnsi="Times New Roman" w:cs="Times New Roman"/>
          <w:highlight w:val="white"/>
        </w:rPr>
        <w:t xml:space="preserve"> assays were validated in all four species</w:t>
      </w:r>
    </w:p>
    <w:p w14:paraId="38643830" w14:textId="77777777" w:rsidR="006317AD" w:rsidRDefault="006317AD" w:rsidP="006317AD">
      <w:pPr>
        <w:numPr>
          <w:ilvl w:val="0"/>
          <w:numId w:val="8"/>
        </w:numPr>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No difference in </w:t>
      </w:r>
      <w:proofErr w:type="spellStart"/>
      <w:r>
        <w:rPr>
          <w:rFonts w:ascii="Times New Roman" w:eastAsia="Times New Roman" w:hAnsi="Times New Roman" w:cs="Times New Roman"/>
          <w:b/>
          <w:highlight w:val="white"/>
        </w:rPr>
        <w:t>cTnI</w:t>
      </w:r>
      <w:proofErr w:type="spellEnd"/>
      <w:r>
        <w:rPr>
          <w:rFonts w:ascii="Times New Roman" w:eastAsia="Times New Roman" w:hAnsi="Times New Roman" w:cs="Times New Roman"/>
          <w:b/>
          <w:highlight w:val="white"/>
        </w:rPr>
        <w:t xml:space="preserve"> or NT-</w:t>
      </w:r>
      <w:proofErr w:type="spellStart"/>
      <w:r>
        <w:rPr>
          <w:rFonts w:ascii="Times New Roman" w:eastAsia="Times New Roman" w:hAnsi="Times New Roman" w:cs="Times New Roman"/>
          <w:b/>
          <w:highlight w:val="white"/>
        </w:rPr>
        <w:t>proBNP</w:t>
      </w:r>
      <w:proofErr w:type="spellEnd"/>
      <w:r>
        <w:rPr>
          <w:rFonts w:ascii="Times New Roman" w:eastAsia="Times New Roman" w:hAnsi="Times New Roman" w:cs="Times New Roman"/>
          <w:b/>
          <w:highlight w:val="white"/>
        </w:rPr>
        <w:t xml:space="preserve"> between sex or age class with any species</w:t>
      </w:r>
    </w:p>
    <w:p w14:paraId="77CC48E6" w14:textId="77777777" w:rsidR="006317AD" w:rsidRDefault="006317AD" w:rsidP="006317AD">
      <w:pPr>
        <w:numPr>
          <w:ilvl w:val="0"/>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All controls were below detectable limit (</w:t>
      </w:r>
      <w:proofErr w:type="spellStart"/>
      <w:r>
        <w:rPr>
          <w:rFonts w:ascii="Times New Roman" w:eastAsia="Times New Roman" w:hAnsi="Times New Roman" w:cs="Times New Roman"/>
          <w:highlight w:val="white"/>
        </w:rPr>
        <w:t>cTnI</w:t>
      </w:r>
      <w:proofErr w:type="spellEnd"/>
      <w:r>
        <w:rPr>
          <w:rFonts w:ascii="Times New Roman" w:eastAsia="Times New Roman" w:hAnsi="Times New Roman" w:cs="Times New Roman"/>
          <w:highlight w:val="white"/>
        </w:rPr>
        <w:t xml:space="preserve"> &lt;0.03 ng/ml, NT-</w:t>
      </w:r>
      <w:proofErr w:type="spellStart"/>
      <w:r>
        <w:rPr>
          <w:rFonts w:ascii="Times New Roman" w:eastAsia="Times New Roman" w:hAnsi="Times New Roman" w:cs="Times New Roman"/>
          <w:highlight w:val="white"/>
        </w:rPr>
        <w:t>proBNP</w:t>
      </w:r>
      <w:proofErr w:type="spellEnd"/>
      <w:r>
        <w:rPr>
          <w:rFonts w:ascii="Times New Roman" w:eastAsia="Times New Roman" w:hAnsi="Times New Roman" w:cs="Times New Roman"/>
          <w:highlight w:val="white"/>
        </w:rPr>
        <w:t xml:space="preserve"> &lt;200 </w:t>
      </w:r>
      <w:proofErr w:type="spellStart"/>
      <w:r>
        <w:rPr>
          <w:rFonts w:ascii="Times New Roman" w:eastAsia="Times New Roman" w:hAnsi="Times New Roman" w:cs="Times New Roman"/>
          <w:highlight w:val="white"/>
        </w:rPr>
        <w:t>pmol</w:t>
      </w:r>
      <w:proofErr w:type="spellEnd"/>
      <w:r>
        <w:rPr>
          <w:rFonts w:ascii="Times New Roman" w:eastAsia="Times New Roman" w:hAnsi="Times New Roman" w:cs="Times New Roman"/>
          <w:highlight w:val="white"/>
        </w:rPr>
        <w:t>/L)</w:t>
      </w:r>
    </w:p>
    <w:p w14:paraId="731599FC" w14:textId="77777777" w:rsidR="006317AD" w:rsidRDefault="006317AD" w:rsidP="006317AD">
      <w:pPr>
        <w:numPr>
          <w:ilvl w:val="0"/>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Chronicity and severity of disease correlated with </w:t>
      </w:r>
      <w:proofErr w:type="spellStart"/>
      <w:r>
        <w:rPr>
          <w:rFonts w:ascii="Times New Roman" w:eastAsia="Times New Roman" w:hAnsi="Times New Roman" w:cs="Times New Roman"/>
          <w:highlight w:val="white"/>
        </w:rPr>
        <w:t>cTnI</w:t>
      </w:r>
      <w:proofErr w:type="spellEnd"/>
      <w:r>
        <w:rPr>
          <w:rFonts w:ascii="Times New Roman" w:eastAsia="Times New Roman" w:hAnsi="Times New Roman" w:cs="Times New Roman"/>
          <w:highlight w:val="white"/>
        </w:rPr>
        <w:t xml:space="preserve"> and NT-</w:t>
      </w:r>
      <w:proofErr w:type="spellStart"/>
      <w:r>
        <w:rPr>
          <w:rFonts w:ascii="Times New Roman" w:eastAsia="Times New Roman" w:hAnsi="Times New Roman" w:cs="Times New Roman"/>
          <w:highlight w:val="white"/>
        </w:rPr>
        <w:t>proBNP</w:t>
      </w:r>
      <w:proofErr w:type="spellEnd"/>
      <w:r>
        <w:rPr>
          <w:rFonts w:ascii="Times New Roman" w:eastAsia="Times New Roman" w:hAnsi="Times New Roman" w:cs="Times New Roman"/>
          <w:highlight w:val="white"/>
        </w:rPr>
        <w:t xml:space="preserve"> in CSLs only</w:t>
      </w:r>
    </w:p>
    <w:p w14:paraId="1EC15142" w14:textId="77777777" w:rsidR="006317AD" w:rsidRDefault="006317AD" w:rsidP="006317AD">
      <w:pPr>
        <w:numPr>
          <w:ilvl w:val="1"/>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No difference within diseased CSLs between </w:t>
      </w:r>
      <w:proofErr w:type="spellStart"/>
      <w:r>
        <w:rPr>
          <w:rFonts w:ascii="Times New Roman" w:eastAsia="Times New Roman" w:hAnsi="Times New Roman" w:cs="Times New Roman"/>
          <w:highlight w:val="white"/>
        </w:rPr>
        <w:t>chronicities</w:t>
      </w:r>
      <w:proofErr w:type="spellEnd"/>
      <w:r>
        <w:rPr>
          <w:rFonts w:ascii="Times New Roman" w:eastAsia="Times New Roman" w:hAnsi="Times New Roman" w:cs="Times New Roman"/>
          <w:highlight w:val="white"/>
        </w:rPr>
        <w:t xml:space="preserve"> (acute vs. chronic) or between severity (mild vs. moderate vs. severe)</w:t>
      </w:r>
    </w:p>
    <w:p w14:paraId="79571C6D" w14:textId="77777777" w:rsidR="006317AD" w:rsidRDefault="006317AD" w:rsidP="006317AD">
      <w:pPr>
        <w:numPr>
          <w:ilvl w:val="0"/>
          <w:numId w:val="8"/>
        </w:numPr>
        <w:spacing w:line="240" w:lineRule="auto"/>
        <w:rPr>
          <w:rFonts w:ascii="Times New Roman" w:eastAsia="Times New Roman" w:hAnsi="Times New Roman" w:cs="Times New Roman"/>
          <w:b/>
          <w:highlight w:val="white"/>
        </w:rPr>
      </w:pPr>
      <w:proofErr w:type="spellStart"/>
      <w:r>
        <w:rPr>
          <w:rFonts w:ascii="Times New Roman" w:eastAsia="Times New Roman" w:hAnsi="Times New Roman" w:cs="Times New Roman"/>
          <w:b/>
          <w:highlight w:val="white"/>
        </w:rPr>
        <w:t>cTnI</w:t>
      </w:r>
      <w:proofErr w:type="spellEnd"/>
      <w:r>
        <w:rPr>
          <w:rFonts w:ascii="Times New Roman" w:eastAsia="Times New Roman" w:hAnsi="Times New Roman" w:cs="Times New Roman"/>
          <w:b/>
          <w:highlight w:val="white"/>
        </w:rPr>
        <w:t xml:space="preserve"> significantly higher in CSLs with confirmed cardiac disease vs. controls</w:t>
      </w:r>
    </w:p>
    <w:p w14:paraId="1DEA7E6E" w14:textId="77777777" w:rsidR="006317AD" w:rsidRDefault="006317AD" w:rsidP="006317AD">
      <w:pPr>
        <w:numPr>
          <w:ilvl w:val="1"/>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No effect of renal disease on </w:t>
      </w:r>
      <w:proofErr w:type="spellStart"/>
      <w:r>
        <w:rPr>
          <w:rFonts w:ascii="Times New Roman" w:eastAsia="Times New Roman" w:hAnsi="Times New Roman" w:cs="Times New Roman"/>
          <w:b/>
          <w:highlight w:val="white"/>
        </w:rPr>
        <w:t>cTnI</w:t>
      </w:r>
      <w:proofErr w:type="spellEnd"/>
    </w:p>
    <w:p w14:paraId="48010D1D" w14:textId="77777777" w:rsidR="006317AD" w:rsidRDefault="006317AD" w:rsidP="006317AD">
      <w:pPr>
        <w:numPr>
          <w:ilvl w:val="1"/>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Significantly higher in CSLs with </w:t>
      </w:r>
      <w:r>
        <w:rPr>
          <w:rFonts w:ascii="Times New Roman" w:eastAsia="Times New Roman" w:hAnsi="Times New Roman" w:cs="Times New Roman"/>
          <w:b/>
          <w:highlight w:val="white"/>
        </w:rPr>
        <w:t>acute disease</w:t>
      </w:r>
      <w:r>
        <w:rPr>
          <w:rFonts w:ascii="Times New Roman" w:eastAsia="Times New Roman" w:hAnsi="Times New Roman" w:cs="Times New Roman"/>
          <w:highlight w:val="white"/>
        </w:rPr>
        <w:t xml:space="preserve"> vs. control</w:t>
      </w:r>
    </w:p>
    <w:p w14:paraId="6B60F27D" w14:textId="77777777" w:rsidR="006317AD" w:rsidRDefault="006317AD" w:rsidP="006317AD">
      <w:pPr>
        <w:numPr>
          <w:ilvl w:val="2"/>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Trend toward higher </w:t>
      </w:r>
      <w:proofErr w:type="spellStart"/>
      <w:r>
        <w:rPr>
          <w:rFonts w:ascii="Times New Roman" w:eastAsia="Times New Roman" w:hAnsi="Times New Roman" w:cs="Times New Roman"/>
          <w:highlight w:val="white"/>
        </w:rPr>
        <w:t>cTnI</w:t>
      </w:r>
      <w:proofErr w:type="spellEnd"/>
      <w:r>
        <w:rPr>
          <w:rFonts w:ascii="Times New Roman" w:eastAsia="Times New Roman" w:hAnsi="Times New Roman" w:cs="Times New Roman"/>
          <w:highlight w:val="white"/>
        </w:rPr>
        <w:t xml:space="preserve"> with chronic disease seen (not stat sig)</w:t>
      </w:r>
    </w:p>
    <w:p w14:paraId="0143A744" w14:textId="77777777" w:rsidR="006317AD" w:rsidRDefault="006317AD" w:rsidP="006317AD">
      <w:pPr>
        <w:numPr>
          <w:ilvl w:val="1"/>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Significantly higher in CSLs with </w:t>
      </w:r>
      <w:r>
        <w:rPr>
          <w:rFonts w:ascii="Times New Roman" w:eastAsia="Times New Roman" w:hAnsi="Times New Roman" w:cs="Times New Roman"/>
          <w:b/>
          <w:highlight w:val="white"/>
        </w:rPr>
        <w:t>moderate disease</w:t>
      </w:r>
      <w:r>
        <w:rPr>
          <w:rFonts w:ascii="Times New Roman" w:eastAsia="Times New Roman" w:hAnsi="Times New Roman" w:cs="Times New Roman"/>
          <w:highlight w:val="white"/>
        </w:rPr>
        <w:t xml:space="preserve"> vs. control</w:t>
      </w:r>
    </w:p>
    <w:p w14:paraId="1B7486F0" w14:textId="77777777" w:rsidR="006317AD" w:rsidRDefault="006317AD" w:rsidP="006317AD">
      <w:pPr>
        <w:numPr>
          <w:ilvl w:val="2"/>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Trend toward higher </w:t>
      </w:r>
      <w:proofErr w:type="spellStart"/>
      <w:r>
        <w:rPr>
          <w:rFonts w:ascii="Times New Roman" w:eastAsia="Times New Roman" w:hAnsi="Times New Roman" w:cs="Times New Roman"/>
          <w:highlight w:val="white"/>
        </w:rPr>
        <w:t>cTnI</w:t>
      </w:r>
      <w:proofErr w:type="spellEnd"/>
      <w:r>
        <w:rPr>
          <w:rFonts w:ascii="Times New Roman" w:eastAsia="Times New Roman" w:hAnsi="Times New Roman" w:cs="Times New Roman"/>
          <w:highlight w:val="white"/>
        </w:rPr>
        <w:t xml:space="preserve"> with severe disease seen (not stat sig)</w:t>
      </w:r>
    </w:p>
    <w:p w14:paraId="6069779C" w14:textId="77777777" w:rsidR="006317AD" w:rsidRDefault="006317AD" w:rsidP="006317AD">
      <w:pPr>
        <w:numPr>
          <w:ilvl w:val="1"/>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Not significant but broader ranges and higher max concentrations of </w:t>
      </w:r>
      <w:proofErr w:type="spellStart"/>
      <w:r>
        <w:rPr>
          <w:rFonts w:ascii="Times New Roman" w:eastAsia="Times New Roman" w:hAnsi="Times New Roman" w:cs="Times New Roman"/>
          <w:highlight w:val="white"/>
        </w:rPr>
        <w:t>cTnI</w:t>
      </w:r>
      <w:proofErr w:type="spellEnd"/>
      <w:r>
        <w:rPr>
          <w:rFonts w:ascii="Times New Roman" w:eastAsia="Times New Roman" w:hAnsi="Times New Roman" w:cs="Times New Roman"/>
          <w:highlight w:val="white"/>
        </w:rPr>
        <w:t xml:space="preserve"> also seen in diseased belugas, sea otters, and stellar sea lions</w:t>
      </w:r>
    </w:p>
    <w:p w14:paraId="491E7985" w14:textId="77777777" w:rsidR="006317AD" w:rsidRDefault="006317AD" w:rsidP="006317AD">
      <w:pPr>
        <w:numPr>
          <w:ilvl w:val="0"/>
          <w:numId w:val="8"/>
        </w:numPr>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NT-</w:t>
      </w:r>
      <w:proofErr w:type="spellStart"/>
      <w:r>
        <w:rPr>
          <w:rFonts w:ascii="Times New Roman" w:eastAsia="Times New Roman" w:hAnsi="Times New Roman" w:cs="Times New Roman"/>
          <w:b/>
          <w:highlight w:val="white"/>
        </w:rPr>
        <w:t>proBNP</w:t>
      </w:r>
      <w:proofErr w:type="spellEnd"/>
      <w:r>
        <w:rPr>
          <w:rFonts w:ascii="Times New Roman" w:eastAsia="Times New Roman" w:hAnsi="Times New Roman" w:cs="Times New Roman"/>
          <w:b/>
          <w:highlight w:val="white"/>
        </w:rPr>
        <w:t xml:space="preserve"> significantly higher in CSL with confirmed cardiac/renal disease &gt; cardiac disease &gt; controls</w:t>
      </w:r>
    </w:p>
    <w:p w14:paraId="3128BD62" w14:textId="77777777" w:rsidR="006317AD" w:rsidRDefault="006317AD" w:rsidP="006317AD">
      <w:pPr>
        <w:numPr>
          <w:ilvl w:val="1"/>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Significantly higher in CSLs with both </w:t>
      </w:r>
      <w:r>
        <w:rPr>
          <w:rFonts w:ascii="Times New Roman" w:eastAsia="Times New Roman" w:hAnsi="Times New Roman" w:cs="Times New Roman"/>
          <w:b/>
          <w:highlight w:val="white"/>
        </w:rPr>
        <w:t>acute and chronic disease</w:t>
      </w:r>
      <w:r>
        <w:rPr>
          <w:rFonts w:ascii="Times New Roman" w:eastAsia="Times New Roman" w:hAnsi="Times New Roman" w:cs="Times New Roman"/>
          <w:highlight w:val="white"/>
        </w:rPr>
        <w:t xml:space="preserve"> vs. control</w:t>
      </w:r>
    </w:p>
    <w:p w14:paraId="02F618D2" w14:textId="77777777" w:rsidR="006317AD" w:rsidRDefault="006317AD" w:rsidP="006317AD">
      <w:pPr>
        <w:numPr>
          <w:ilvl w:val="1"/>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Significantly higher in CSLs with </w:t>
      </w:r>
      <w:r>
        <w:rPr>
          <w:rFonts w:ascii="Times New Roman" w:eastAsia="Times New Roman" w:hAnsi="Times New Roman" w:cs="Times New Roman"/>
          <w:b/>
          <w:highlight w:val="white"/>
        </w:rPr>
        <w:t>mild disease</w:t>
      </w:r>
      <w:r>
        <w:rPr>
          <w:rFonts w:ascii="Times New Roman" w:eastAsia="Times New Roman" w:hAnsi="Times New Roman" w:cs="Times New Roman"/>
          <w:highlight w:val="white"/>
        </w:rPr>
        <w:t xml:space="preserve"> vs. control</w:t>
      </w:r>
    </w:p>
    <w:p w14:paraId="3622D6F4" w14:textId="77777777" w:rsidR="006317AD" w:rsidRDefault="006317AD" w:rsidP="006317AD">
      <w:pPr>
        <w:numPr>
          <w:ilvl w:val="2"/>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Trend toward higher NT-</w:t>
      </w:r>
      <w:proofErr w:type="spellStart"/>
      <w:r>
        <w:rPr>
          <w:rFonts w:ascii="Times New Roman" w:eastAsia="Times New Roman" w:hAnsi="Times New Roman" w:cs="Times New Roman"/>
          <w:highlight w:val="white"/>
        </w:rPr>
        <w:t>proBNP</w:t>
      </w:r>
      <w:proofErr w:type="spellEnd"/>
      <w:r>
        <w:rPr>
          <w:rFonts w:ascii="Times New Roman" w:eastAsia="Times New Roman" w:hAnsi="Times New Roman" w:cs="Times New Roman"/>
          <w:highlight w:val="white"/>
        </w:rPr>
        <w:t xml:space="preserve"> seen in mod and severe disease (not stat sig)</w:t>
      </w:r>
    </w:p>
    <w:p w14:paraId="719D1DFD" w14:textId="77777777" w:rsidR="006317AD" w:rsidRDefault="006317AD" w:rsidP="006317AD">
      <w:pPr>
        <w:numPr>
          <w:ilvl w:val="1"/>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No difference between diseased and control stellar sea lions</w:t>
      </w:r>
    </w:p>
    <w:p w14:paraId="33947177" w14:textId="77777777" w:rsidR="006317AD" w:rsidRDefault="006317AD" w:rsidP="006317AD">
      <w:pPr>
        <w:numPr>
          <w:ilvl w:val="1"/>
          <w:numId w:val="8"/>
        </w:num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Remained below detectable limit for all disease and control belugas and sea otters </w:t>
      </w:r>
    </w:p>
    <w:p w14:paraId="60D1B420" w14:textId="77777777" w:rsidR="006317AD" w:rsidRDefault="006317AD" w:rsidP="006317AD">
      <w:pPr>
        <w:spacing w:line="240" w:lineRule="auto"/>
        <w:rPr>
          <w:rFonts w:ascii="Times New Roman" w:eastAsia="Times New Roman" w:hAnsi="Times New Roman" w:cs="Times New Roman"/>
          <w:highlight w:val="white"/>
        </w:rPr>
      </w:pPr>
      <w:r>
        <w:rPr>
          <w:noProof/>
        </w:rPr>
        <w:lastRenderedPageBreak/>
        <w:drawing>
          <wp:anchor distT="114300" distB="114300" distL="114300" distR="114300" simplePos="0" relativeHeight="251659264" behindDoc="0" locked="0" layoutInCell="1" hidden="0" allowOverlap="1" wp14:anchorId="78E7F9C5" wp14:editId="7665E3B0">
            <wp:simplePos x="0" y="0"/>
            <wp:positionH relativeFrom="column">
              <wp:posOffset>3324225</wp:posOffset>
            </wp:positionH>
            <wp:positionV relativeFrom="paragraph">
              <wp:posOffset>200695</wp:posOffset>
            </wp:positionV>
            <wp:extent cx="3043238" cy="2943459"/>
            <wp:effectExtent l="0" t="0" r="0" b="0"/>
            <wp:wrapSquare wrapText="bothSides" distT="114300" distB="114300" distL="114300" distR="114300"/>
            <wp:docPr id="685996977" name="Picture 4"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box and whisker chart&#10;&#10;Description automatically generated"/>
                    <pic:cNvPicPr preferRelativeResize="0"/>
                  </pic:nvPicPr>
                  <pic:blipFill>
                    <a:blip r:embed="rId8"/>
                    <a:srcRect/>
                    <a:stretch>
                      <a:fillRect/>
                    </a:stretch>
                  </pic:blipFill>
                  <pic:spPr>
                    <a:xfrm>
                      <a:off x="0" y="0"/>
                      <a:ext cx="3043238" cy="2943459"/>
                    </a:xfrm>
                    <a:prstGeom prst="rect">
                      <a:avLst/>
                    </a:prstGeom>
                    <a:ln/>
                  </pic:spPr>
                </pic:pic>
              </a:graphicData>
            </a:graphic>
          </wp:anchor>
        </w:drawing>
      </w:r>
    </w:p>
    <w:p w14:paraId="67F81DEB" w14:textId="77777777" w:rsidR="006317AD" w:rsidRDefault="006317AD" w:rsidP="006317AD">
      <w:pPr>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TLDR: </w:t>
      </w:r>
      <w:proofErr w:type="spellStart"/>
      <w:r>
        <w:rPr>
          <w:rFonts w:ascii="Times New Roman" w:eastAsia="Times New Roman" w:hAnsi="Times New Roman" w:cs="Times New Roman"/>
          <w:b/>
          <w:highlight w:val="white"/>
        </w:rPr>
        <w:t>cTnI</w:t>
      </w:r>
      <w:proofErr w:type="spellEnd"/>
      <w:r>
        <w:rPr>
          <w:rFonts w:ascii="Times New Roman" w:eastAsia="Times New Roman" w:hAnsi="Times New Roman" w:cs="Times New Roman"/>
          <w:b/>
          <w:highlight w:val="white"/>
        </w:rPr>
        <w:t xml:space="preserve"> and NT-</w:t>
      </w:r>
      <w:proofErr w:type="spellStart"/>
      <w:r>
        <w:rPr>
          <w:rFonts w:ascii="Times New Roman" w:eastAsia="Times New Roman" w:hAnsi="Times New Roman" w:cs="Times New Roman"/>
          <w:b/>
          <w:highlight w:val="white"/>
        </w:rPr>
        <w:t>proBNP</w:t>
      </w:r>
      <w:proofErr w:type="spellEnd"/>
      <w:r>
        <w:rPr>
          <w:rFonts w:ascii="Times New Roman" w:eastAsia="Times New Roman" w:hAnsi="Times New Roman" w:cs="Times New Roman"/>
          <w:b/>
          <w:highlight w:val="white"/>
        </w:rPr>
        <w:t xml:space="preserve"> may be useful in diagnosing cardiac disease antemortem in CSLs however concurrent renal disease can affect NT-</w:t>
      </w:r>
      <w:proofErr w:type="spellStart"/>
      <w:r>
        <w:rPr>
          <w:rFonts w:ascii="Times New Roman" w:eastAsia="Times New Roman" w:hAnsi="Times New Roman" w:cs="Times New Roman"/>
          <w:b/>
          <w:highlight w:val="white"/>
        </w:rPr>
        <w:t>proBNP</w:t>
      </w:r>
      <w:proofErr w:type="spellEnd"/>
      <w:r>
        <w:rPr>
          <w:rFonts w:ascii="Times New Roman" w:eastAsia="Times New Roman" w:hAnsi="Times New Roman" w:cs="Times New Roman"/>
          <w:b/>
          <w:highlight w:val="white"/>
        </w:rPr>
        <w:t xml:space="preserve"> thus should be interpreted with caution</w:t>
      </w:r>
    </w:p>
    <w:p w14:paraId="34A0A899" w14:textId="77777777" w:rsidR="006317AD" w:rsidRDefault="006317AD" w:rsidP="006317AD">
      <w:pPr>
        <w:widowControl w:val="0"/>
        <w:spacing w:line="240" w:lineRule="auto"/>
        <w:ind w:right="468"/>
        <w:rPr>
          <w:rFonts w:ascii="Times New Roman" w:eastAsia="Times New Roman" w:hAnsi="Times New Roman" w:cs="Times New Roman"/>
          <w:b/>
        </w:rPr>
      </w:pPr>
    </w:p>
    <w:p w14:paraId="1270C276" w14:textId="77777777" w:rsidR="006317AD" w:rsidRDefault="006317AD" w:rsidP="006317AD">
      <w:pPr>
        <w:widowControl w:val="0"/>
        <w:spacing w:line="240" w:lineRule="auto"/>
        <w:ind w:right="468"/>
        <w:rPr>
          <w:rFonts w:ascii="Times New Roman" w:eastAsia="Times New Roman" w:hAnsi="Times New Roman" w:cs="Times New Roman"/>
          <w:b/>
        </w:rPr>
      </w:pPr>
    </w:p>
    <w:p w14:paraId="0AE0EA48" w14:textId="43FB83A8" w:rsidR="006317AD" w:rsidRDefault="006317AD" w:rsidP="006317AD">
      <w:pPr>
        <w:spacing w:line="240" w:lineRule="auto"/>
      </w:pPr>
      <w:r>
        <w:br w:type="page"/>
      </w:r>
    </w:p>
    <w:p w14:paraId="703B7B98" w14:textId="77777777" w:rsidR="006317AD" w:rsidRPr="000D3DA0" w:rsidRDefault="006317AD" w:rsidP="006317AD">
      <w:pPr>
        <w:spacing w:line="240" w:lineRule="auto"/>
        <w:contextualSpacing/>
        <w:rPr>
          <w:rFonts w:eastAsia="Times New Roman" w:cstheme="minorHAnsi"/>
        </w:rPr>
      </w:pPr>
      <w:r w:rsidRPr="000D3DA0">
        <w:rPr>
          <w:rFonts w:eastAsia="Times New Roman" w:cstheme="minorHAnsi"/>
          <w:bCs/>
          <w:color w:val="000000"/>
        </w:rPr>
        <w:lastRenderedPageBreak/>
        <w:t>JZWM 2021 52(1): 49–56</w:t>
      </w:r>
    </w:p>
    <w:p w14:paraId="35016843" w14:textId="77777777" w:rsidR="006317AD" w:rsidRPr="000D3DA0" w:rsidRDefault="006317AD" w:rsidP="006317AD">
      <w:pPr>
        <w:spacing w:line="240" w:lineRule="auto"/>
        <w:contextualSpacing/>
        <w:outlineLvl w:val="2"/>
        <w:rPr>
          <w:rFonts w:eastAsia="Times New Roman" w:cstheme="minorHAnsi"/>
          <w:b/>
          <w:bCs/>
        </w:rPr>
      </w:pPr>
      <w:hyperlink r:id="rId9" w:history="1">
        <w:r w:rsidRPr="000D3DA0">
          <w:rPr>
            <w:rStyle w:val="Hyperlink"/>
            <w:rFonts w:eastAsia="Times New Roman" w:cstheme="minorHAnsi"/>
            <w:b/>
            <w:bCs/>
          </w:rPr>
          <w:t>RESPIRATORY CHANGES IN STRANDED BOTTLENOSE DOLPHINS (</w:t>
        </w:r>
        <w:r w:rsidRPr="000D3DA0">
          <w:rPr>
            <w:rStyle w:val="Hyperlink"/>
            <w:rFonts w:eastAsia="Times New Roman" w:cstheme="minorHAnsi"/>
            <w:b/>
            <w:bCs/>
            <w:i/>
            <w:iCs/>
          </w:rPr>
          <w:t>TURSIOPS</w:t>
        </w:r>
        <w:r w:rsidRPr="000D3DA0">
          <w:rPr>
            <w:rStyle w:val="Hyperlink"/>
            <w:rFonts w:eastAsia="Times New Roman" w:cstheme="minorHAnsi"/>
            <w:b/>
            <w:bCs/>
          </w:rPr>
          <w:t xml:space="preserve"> </w:t>
        </w:r>
        <w:r w:rsidRPr="000D3DA0">
          <w:rPr>
            <w:rStyle w:val="Hyperlink"/>
            <w:rFonts w:eastAsia="Times New Roman" w:cstheme="minorHAnsi"/>
            <w:b/>
            <w:bCs/>
            <w:i/>
            <w:iCs/>
          </w:rPr>
          <w:t>TRUNCATUS</w:t>
        </w:r>
        <w:r w:rsidRPr="000D3DA0">
          <w:rPr>
            <w:rStyle w:val="Hyperlink"/>
            <w:rFonts w:eastAsia="Times New Roman" w:cstheme="minorHAnsi"/>
            <w:b/>
            <w:bCs/>
          </w:rPr>
          <w:t>)</w:t>
        </w:r>
      </w:hyperlink>
    </w:p>
    <w:p w14:paraId="12099780" w14:textId="77777777" w:rsidR="006317AD" w:rsidRDefault="006317AD" w:rsidP="006317AD">
      <w:pPr>
        <w:spacing w:line="240" w:lineRule="auto"/>
        <w:contextualSpacing/>
        <w:rPr>
          <w:rFonts w:eastAsia="Times New Roman" w:cstheme="minorHAnsi"/>
          <w:color w:val="000000"/>
        </w:rPr>
      </w:pPr>
      <w:r w:rsidRPr="00830844">
        <w:rPr>
          <w:rFonts w:eastAsia="Times New Roman" w:cstheme="minorHAnsi"/>
          <w:color w:val="000000"/>
        </w:rPr>
        <w:t xml:space="preserve">Fahlman A, Brodsky M, </w:t>
      </w:r>
      <w:proofErr w:type="spellStart"/>
      <w:r w:rsidRPr="00830844">
        <w:rPr>
          <w:rFonts w:eastAsia="Times New Roman" w:cstheme="minorHAnsi"/>
          <w:color w:val="000000"/>
        </w:rPr>
        <w:t>Rocho</w:t>
      </w:r>
      <w:proofErr w:type="spellEnd"/>
      <w:r w:rsidRPr="00830844">
        <w:rPr>
          <w:rFonts w:eastAsia="Times New Roman" w:cstheme="minorHAnsi"/>
          <w:color w:val="000000"/>
        </w:rPr>
        <w:t>-Levine J, et al.</w:t>
      </w:r>
    </w:p>
    <w:p w14:paraId="1505D614" w14:textId="77777777" w:rsidR="006317AD" w:rsidRPr="000D3DA0" w:rsidRDefault="006317AD" w:rsidP="006317AD">
      <w:pPr>
        <w:spacing w:line="240" w:lineRule="auto"/>
        <w:contextualSpacing/>
        <w:rPr>
          <w:rFonts w:eastAsia="Times New Roman" w:cstheme="minorHAnsi"/>
        </w:rPr>
      </w:pPr>
    </w:p>
    <w:p w14:paraId="1BF2892C" w14:textId="77777777" w:rsidR="006317AD" w:rsidRPr="000D3DA0" w:rsidRDefault="006317AD" w:rsidP="006317AD">
      <w:pPr>
        <w:spacing w:line="240" w:lineRule="auto"/>
        <w:contextualSpacing/>
        <w:rPr>
          <w:rFonts w:eastAsia="Times New Roman" w:cstheme="minorHAnsi"/>
          <w:color w:val="000000"/>
        </w:rPr>
      </w:pPr>
      <w:r w:rsidRPr="000D3DA0">
        <w:rPr>
          <w:rFonts w:eastAsia="Times New Roman" w:cstheme="minorHAnsi"/>
          <w:b/>
          <w:color w:val="000000"/>
        </w:rPr>
        <w:t xml:space="preserve">Abstract: </w:t>
      </w:r>
      <w:r w:rsidRPr="000D3DA0">
        <w:rPr>
          <w:rFonts w:eastAsia="Times New Roman" w:cstheme="minorHAnsi"/>
          <w:color w:val="000000"/>
        </w:rPr>
        <w:t xml:space="preserve">Lung function (breath duration, respiratory flow [V˙], and tidal volume [VT]), and </w:t>
      </w:r>
      <w:proofErr w:type="gramStart"/>
      <w:r w:rsidRPr="000D3DA0">
        <w:rPr>
          <w:rFonts w:eastAsia="Times New Roman" w:cstheme="minorHAnsi"/>
          <w:color w:val="000000"/>
        </w:rPr>
        <w:t>end-expiratory</w:t>
      </w:r>
      <w:proofErr w:type="gramEnd"/>
      <w:r w:rsidRPr="000D3DA0">
        <w:rPr>
          <w:rFonts w:eastAsia="Times New Roman" w:cstheme="minorHAnsi"/>
          <w:color w:val="000000"/>
        </w:rPr>
        <w:t xml:space="preserve"> O2 were measured in 19 adult bottlenose dolphins (Tursiops spp.) while at rest in water or beached for up to 10 min. The results show that inspiratory VT, expiratory VT, or inspiratory V˙ did not differ on land or in water. The average expiratory V˙ for all dolphins on land decreased by 16%, and the expiratory and total breath durations increased by 5% and 4%, respectively, compared with in water. There were temporal changes observed during beaching, where expired and inspired VT and inspired V˙ decreased by 13%, 16%, and 9%, respectively, after 10 min on land. These data suggest that dolphins compensate for the effect of gravity by adjusting respiration to maintain alveolar ventilation and gas exchange, but during extended durations, the increased work of breathing may impede ventilation and gas exchange. Continuous monitoring of lung function and gas exchange may help prevent </w:t>
      </w:r>
      <w:proofErr w:type="spellStart"/>
      <w:r w:rsidRPr="000D3DA0">
        <w:rPr>
          <w:rFonts w:eastAsia="Times New Roman" w:cstheme="minorHAnsi"/>
          <w:color w:val="000000"/>
        </w:rPr>
        <w:t>longterm</w:t>
      </w:r>
      <w:proofErr w:type="spellEnd"/>
      <w:r w:rsidRPr="000D3DA0">
        <w:rPr>
          <w:rFonts w:eastAsia="Times New Roman" w:cstheme="minorHAnsi"/>
          <w:color w:val="000000"/>
        </w:rPr>
        <w:t xml:space="preserve"> damage during out-of-water medical procedures, optimize animal transport conditions, and improve survival during stranding events.</w:t>
      </w:r>
    </w:p>
    <w:p w14:paraId="42851089" w14:textId="77777777" w:rsidR="006317AD" w:rsidRPr="000D3DA0" w:rsidRDefault="006317AD" w:rsidP="006317AD">
      <w:pPr>
        <w:spacing w:line="240" w:lineRule="auto"/>
        <w:contextualSpacing/>
        <w:rPr>
          <w:rFonts w:eastAsia="Times New Roman" w:cstheme="minorHAnsi"/>
        </w:rPr>
      </w:pPr>
    </w:p>
    <w:p w14:paraId="05D8306A" w14:textId="77777777" w:rsidR="006317AD" w:rsidRPr="000D3DA0" w:rsidRDefault="006317AD" w:rsidP="006317AD">
      <w:pPr>
        <w:spacing w:line="240" w:lineRule="auto"/>
        <w:contextualSpacing/>
        <w:rPr>
          <w:rFonts w:eastAsia="Times New Roman" w:cstheme="minorHAnsi"/>
        </w:rPr>
      </w:pPr>
      <w:r w:rsidRPr="000D3DA0">
        <w:rPr>
          <w:rFonts w:eastAsia="Times New Roman" w:cstheme="minorHAnsi"/>
          <w:b/>
          <w:bCs/>
          <w:color w:val="000000"/>
        </w:rPr>
        <w:t>Background</w:t>
      </w:r>
    </w:p>
    <w:p w14:paraId="51C6016A" w14:textId="77777777" w:rsidR="006317AD" w:rsidRPr="000D3DA0" w:rsidRDefault="006317AD" w:rsidP="006317AD">
      <w:pPr>
        <w:pStyle w:val="NormalWeb"/>
        <w:numPr>
          <w:ilvl w:val="0"/>
          <w:numId w:val="11"/>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In cetaceans, when on land, the weight of the body pushes down on the highly compliant thorax which may have cardiorespiratory effects </w:t>
      </w:r>
    </w:p>
    <w:p w14:paraId="34310E1C" w14:textId="77777777" w:rsidR="006317AD" w:rsidRPr="000D3DA0" w:rsidRDefault="006317AD" w:rsidP="006317AD">
      <w:pPr>
        <w:pStyle w:val="NormalWeb"/>
        <w:numPr>
          <w:ilvl w:val="1"/>
          <w:numId w:val="11"/>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Stranding associated health effects: hyperthermia, dehydration, suffocation, hypoxia, abrasions, sunburn, cardiomyopathy, skeletal muscle myopathy </w:t>
      </w:r>
    </w:p>
    <w:p w14:paraId="58F71067" w14:textId="77777777" w:rsidR="006317AD" w:rsidRPr="000D3DA0" w:rsidRDefault="006317AD" w:rsidP="006317AD">
      <w:pPr>
        <w:pStyle w:val="NormalWeb"/>
        <w:numPr>
          <w:ilvl w:val="1"/>
          <w:numId w:val="11"/>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Respiratory tract disease identified in as many as 20% of stranded dolphins</w:t>
      </w:r>
    </w:p>
    <w:p w14:paraId="193D1D28" w14:textId="77777777" w:rsidR="006317AD" w:rsidRPr="000D3DA0" w:rsidRDefault="006317AD" w:rsidP="006317AD">
      <w:pPr>
        <w:pStyle w:val="NormalWeb"/>
        <w:numPr>
          <w:ilvl w:val="0"/>
          <w:numId w:val="9"/>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Respiratory cycle: begins with expiration followed by immediate inspiration and respiratory pause</w:t>
      </w:r>
    </w:p>
    <w:p w14:paraId="589443EC" w14:textId="77777777" w:rsidR="006317AD" w:rsidRPr="000D3DA0" w:rsidRDefault="006317AD" w:rsidP="006317AD">
      <w:pPr>
        <w:pStyle w:val="NormalWeb"/>
        <w:numPr>
          <w:ilvl w:val="1"/>
          <w:numId w:val="9"/>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The elastic recoil of the chest is responsible for emptying the lung</w:t>
      </w:r>
    </w:p>
    <w:p w14:paraId="4AFE9E02" w14:textId="77777777" w:rsidR="006317AD" w:rsidRPr="000D3DA0" w:rsidRDefault="006317AD" w:rsidP="006317AD">
      <w:pPr>
        <w:pStyle w:val="NormalWeb"/>
        <w:numPr>
          <w:ilvl w:val="2"/>
          <w:numId w:val="9"/>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On land would not require additional work to empty lung</w:t>
      </w:r>
    </w:p>
    <w:p w14:paraId="2500946F" w14:textId="77777777" w:rsidR="006317AD" w:rsidRPr="000D3DA0" w:rsidRDefault="006317AD" w:rsidP="006317AD">
      <w:pPr>
        <w:pStyle w:val="NormalWeb"/>
        <w:numPr>
          <w:ilvl w:val="1"/>
          <w:numId w:val="9"/>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 xml:space="preserve">Inhalation is an active process (would </w:t>
      </w:r>
      <w:proofErr w:type="spellStart"/>
      <w:proofErr w:type="gramStart"/>
      <w:r w:rsidRPr="000D3DA0">
        <w:rPr>
          <w:rFonts w:asciiTheme="minorHAnsi" w:hAnsiTheme="minorHAnsi" w:cstheme="minorHAnsi"/>
          <w:color w:val="000000"/>
          <w:sz w:val="22"/>
          <w:szCs w:val="22"/>
        </w:rPr>
        <w:t>required</w:t>
      </w:r>
      <w:proofErr w:type="spellEnd"/>
      <w:proofErr w:type="gramEnd"/>
      <w:r w:rsidRPr="000D3DA0">
        <w:rPr>
          <w:rFonts w:asciiTheme="minorHAnsi" w:hAnsiTheme="minorHAnsi" w:cstheme="minorHAnsi"/>
          <w:color w:val="000000"/>
          <w:sz w:val="22"/>
          <w:szCs w:val="22"/>
        </w:rPr>
        <w:t xml:space="preserve"> additional muscle force to lift body on land)</w:t>
      </w:r>
    </w:p>
    <w:p w14:paraId="224B3AC5" w14:textId="77777777" w:rsidR="006317AD" w:rsidRPr="000D3DA0" w:rsidRDefault="006317AD" w:rsidP="006317AD">
      <w:pPr>
        <w:pStyle w:val="NormalWeb"/>
        <w:numPr>
          <w:ilvl w:val="0"/>
          <w:numId w:val="9"/>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Lung function testing may be an effective diagnostic tool in stranding situations</w:t>
      </w:r>
    </w:p>
    <w:p w14:paraId="3B1A663E" w14:textId="77777777" w:rsidR="006317AD" w:rsidRPr="000D3DA0" w:rsidRDefault="006317AD" w:rsidP="006317AD">
      <w:pPr>
        <w:numPr>
          <w:ilvl w:val="0"/>
          <w:numId w:val="9"/>
        </w:numPr>
        <w:spacing w:line="240" w:lineRule="auto"/>
        <w:contextualSpacing/>
        <w:textAlignment w:val="baseline"/>
        <w:rPr>
          <w:rFonts w:eastAsia="Times New Roman" w:cstheme="minorHAnsi"/>
          <w:color w:val="000000"/>
        </w:rPr>
      </w:pPr>
      <w:r w:rsidRPr="000D3DA0">
        <w:rPr>
          <w:rFonts w:eastAsia="Times New Roman" w:cstheme="minorHAnsi"/>
          <w:color w:val="000000"/>
        </w:rPr>
        <w:t>Previous studies found no short-term differences in lung function or metabolic cost in healthy bottlenose dolphins in water or on the deck of a boat on a foam mat</w:t>
      </w:r>
    </w:p>
    <w:p w14:paraId="7ED127B8" w14:textId="77777777" w:rsidR="006317AD" w:rsidRPr="000D3DA0" w:rsidRDefault="006317AD" w:rsidP="006317AD">
      <w:pPr>
        <w:spacing w:line="240" w:lineRule="auto"/>
        <w:contextualSpacing/>
        <w:rPr>
          <w:rFonts w:eastAsia="Times New Roman" w:cstheme="minorHAnsi"/>
        </w:rPr>
      </w:pPr>
      <w:r w:rsidRPr="000D3DA0">
        <w:rPr>
          <w:rFonts w:eastAsia="Times New Roman" w:cstheme="minorHAnsi"/>
          <w:b/>
          <w:bCs/>
          <w:color w:val="000000"/>
        </w:rPr>
        <w:t>Key Points:</w:t>
      </w:r>
    </w:p>
    <w:p w14:paraId="38EDBDD2" w14:textId="77777777" w:rsidR="006317AD" w:rsidRDefault="006317AD" w:rsidP="006317AD">
      <w:pPr>
        <w:pStyle w:val="NormalWeb"/>
        <w:numPr>
          <w:ilvl w:val="0"/>
          <w:numId w:val="10"/>
        </w:numPr>
        <w:spacing w:before="0" w:beforeAutospacing="0" w:after="0" w:afterAutospacing="0"/>
        <w:contextualSpacing/>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w:t>
      </w:r>
      <w:r w:rsidRPr="000D3DA0">
        <w:rPr>
          <w:rFonts w:asciiTheme="minorHAnsi" w:hAnsiTheme="minorHAnsi" w:cstheme="minorHAnsi"/>
          <w:color w:val="000000"/>
          <w:sz w:val="22"/>
          <w:szCs w:val="22"/>
        </w:rPr>
        <w:t>o differences in the overall average inspiratory VT, expiratory VT, end expired O2, or inspiratory V between land and water, however significant temporal changes occurred </w:t>
      </w:r>
    </w:p>
    <w:p w14:paraId="1398046C" w14:textId="77777777" w:rsidR="006317AD" w:rsidRPr="000D3DA0" w:rsidRDefault="006317AD" w:rsidP="006317AD">
      <w:pPr>
        <w:pStyle w:val="NormalWeb"/>
        <w:numPr>
          <w:ilvl w:val="0"/>
          <w:numId w:val="10"/>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 xml:space="preserve">Average expiratory V for all dolphins on land decreased and expiratory, total breath durations increased </w:t>
      </w:r>
    </w:p>
    <w:p w14:paraId="49EE62A0" w14:textId="77777777" w:rsidR="006317AD" w:rsidRPr="000D3DA0" w:rsidRDefault="006317AD" w:rsidP="006317AD">
      <w:pPr>
        <w:pStyle w:val="NormalWeb"/>
        <w:numPr>
          <w:ilvl w:val="0"/>
          <w:numId w:val="10"/>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 xml:space="preserve">Expired and inspired VT and inspired V decreased after 10 min on land, but there were no changes in </w:t>
      </w:r>
      <w:proofErr w:type="gramStart"/>
      <w:r w:rsidRPr="000D3DA0">
        <w:rPr>
          <w:rFonts w:asciiTheme="minorHAnsi" w:hAnsiTheme="minorHAnsi" w:cstheme="minorHAnsi"/>
          <w:color w:val="000000"/>
          <w:sz w:val="22"/>
          <w:szCs w:val="22"/>
        </w:rPr>
        <w:t>end-expired</w:t>
      </w:r>
      <w:proofErr w:type="gramEnd"/>
      <w:r w:rsidRPr="000D3DA0">
        <w:rPr>
          <w:rFonts w:asciiTheme="minorHAnsi" w:hAnsiTheme="minorHAnsi" w:cstheme="minorHAnsi"/>
          <w:color w:val="000000"/>
          <w:sz w:val="22"/>
          <w:szCs w:val="22"/>
        </w:rPr>
        <w:t xml:space="preserve"> O2 concentration</w:t>
      </w:r>
    </w:p>
    <w:p w14:paraId="594A613A" w14:textId="77777777" w:rsidR="006317AD" w:rsidRPr="000D3DA0" w:rsidRDefault="006317AD" w:rsidP="006317AD">
      <w:pPr>
        <w:pStyle w:val="NormalWeb"/>
        <w:numPr>
          <w:ilvl w:val="1"/>
          <w:numId w:val="10"/>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Despite reduced tidal volume, dolphins compensated their alveolar ventilation to prevent hypoxia</w:t>
      </w:r>
    </w:p>
    <w:p w14:paraId="1580C464" w14:textId="77777777" w:rsidR="006317AD" w:rsidRPr="000D3DA0" w:rsidRDefault="006317AD" w:rsidP="006317AD">
      <w:pPr>
        <w:pStyle w:val="NormalWeb"/>
        <w:numPr>
          <w:ilvl w:val="1"/>
          <w:numId w:val="10"/>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The tidal volume decreased progressively with time</w:t>
      </w:r>
    </w:p>
    <w:p w14:paraId="07FAED66" w14:textId="77777777" w:rsidR="006317AD" w:rsidRPr="000D3DA0" w:rsidRDefault="006317AD" w:rsidP="006317AD">
      <w:pPr>
        <w:pStyle w:val="NormalWeb"/>
        <w:numPr>
          <w:ilvl w:val="1"/>
          <w:numId w:val="10"/>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Reduced inspired tidal volume caused by reduction in inspired respiratory flow because of gravity</w:t>
      </w:r>
    </w:p>
    <w:p w14:paraId="407216F4" w14:textId="77777777" w:rsidR="006317AD" w:rsidRPr="000D3DA0" w:rsidRDefault="006317AD" w:rsidP="006317AD">
      <w:pPr>
        <w:numPr>
          <w:ilvl w:val="0"/>
          <w:numId w:val="10"/>
        </w:numPr>
        <w:spacing w:line="240" w:lineRule="auto"/>
        <w:contextualSpacing/>
        <w:textAlignment w:val="baseline"/>
        <w:rPr>
          <w:rFonts w:eastAsia="Times New Roman" w:cstheme="minorHAnsi"/>
          <w:b/>
          <w:bCs/>
          <w:color w:val="000000"/>
        </w:rPr>
      </w:pPr>
      <w:r>
        <w:rPr>
          <w:rFonts w:eastAsia="Times New Roman" w:cstheme="minorHAnsi"/>
          <w:color w:val="000000"/>
        </w:rPr>
        <w:t>Present</w:t>
      </w:r>
      <w:r w:rsidRPr="000D3DA0">
        <w:rPr>
          <w:rFonts w:eastAsia="Times New Roman" w:cstheme="minorHAnsi"/>
          <w:color w:val="000000"/>
        </w:rPr>
        <w:t xml:space="preserve"> study only </w:t>
      </w:r>
      <w:r>
        <w:rPr>
          <w:rFonts w:eastAsia="Times New Roman" w:cstheme="minorHAnsi"/>
          <w:color w:val="000000"/>
        </w:rPr>
        <w:t>beached dolphins</w:t>
      </w:r>
      <w:r w:rsidRPr="000D3DA0">
        <w:rPr>
          <w:rFonts w:eastAsia="Times New Roman" w:cstheme="minorHAnsi"/>
          <w:color w:val="000000"/>
        </w:rPr>
        <w:t xml:space="preserve"> for 10 minutes, may be able to compensate better during this time</w:t>
      </w:r>
    </w:p>
    <w:p w14:paraId="73E7719E" w14:textId="77777777" w:rsidR="006317AD" w:rsidRPr="000D3DA0" w:rsidRDefault="006317AD" w:rsidP="006317AD">
      <w:pPr>
        <w:numPr>
          <w:ilvl w:val="0"/>
          <w:numId w:val="10"/>
        </w:numPr>
        <w:spacing w:line="240" w:lineRule="auto"/>
        <w:contextualSpacing/>
        <w:textAlignment w:val="baseline"/>
        <w:rPr>
          <w:rFonts w:eastAsia="Times New Roman" w:cstheme="minorHAnsi"/>
          <w:b/>
          <w:bCs/>
          <w:color w:val="000000"/>
        </w:rPr>
      </w:pPr>
      <w:r w:rsidRPr="000D3DA0">
        <w:rPr>
          <w:rFonts w:eastAsia="Times New Roman" w:cstheme="minorHAnsi"/>
          <w:color w:val="000000"/>
        </w:rPr>
        <w:t>ETCO2 could have shown respiratory insufficiency and should be done in future</w:t>
      </w:r>
    </w:p>
    <w:p w14:paraId="10FEB895" w14:textId="77777777" w:rsidR="006317AD" w:rsidRPr="000D3DA0" w:rsidRDefault="006317AD" w:rsidP="006317AD">
      <w:pPr>
        <w:spacing w:line="240" w:lineRule="auto"/>
        <w:contextualSpacing/>
        <w:rPr>
          <w:rFonts w:eastAsia="Times New Roman" w:cstheme="minorHAnsi"/>
          <w:b/>
          <w:bCs/>
          <w:color w:val="000000"/>
        </w:rPr>
      </w:pPr>
      <w:r w:rsidRPr="000D3DA0">
        <w:rPr>
          <w:rFonts w:eastAsia="Times New Roman" w:cstheme="minorHAnsi"/>
          <w:b/>
          <w:bCs/>
          <w:color w:val="000000"/>
        </w:rPr>
        <w:t>Take Home Message:</w:t>
      </w:r>
    </w:p>
    <w:p w14:paraId="16FBDB1D" w14:textId="77777777" w:rsidR="006317AD" w:rsidRPr="000D3DA0" w:rsidRDefault="006317AD" w:rsidP="006317AD">
      <w:pPr>
        <w:pStyle w:val="NormalWeb"/>
        <w:numPr>
          <w:ilvl w:val="0"/>
          <w:numId w:val="13"/>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lastRenderedPageBreak/>
        <w:t>Breaching a dolphin on land for 10 min:</w:t>
      </w:r>
    </w:p>
    <w:p w14:paraId="571196BD" w14:textId="77777777" w:rsidR="006317AD" w:rsidRPr="000D3DA0" w:rsidRDefault="006317AD" w:rsidP="006317AD">
      <w:pPr>
        <w:pStyle w:val="NormalWeb"/>
        <w:numPr>
          <w:ilvl w:val="1"/>
          <w:numId w:val="13"/>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Increases expiratory respiratory flow, expiratory duration, and total breath duration</w:t>
      </w:r>
    </w:p>
    <w:p w14:paraId="58D0BB22" w14:textId="77777777" w:rsidR="006317AD" w:rsidRPr="000D3DA0" w:rsidRDefault="006317AD" w:rsidP="006317AD">
      <w:pPr>
        <w:pStyle w:val="NormalWeb"/>
        <w:numPr>
          <w:ilvl w:val="1"/>
          <w:numId w:val="13"/>
        </w:numPr>
        <w:spacing w:before="0" w:beforeAutospacing="0" w:after="0" w:afterAutospacing="0"/>
        <w:contextualSpacing/>
        <w:textAlignment w:val="baseline"/>
        <w:rPr>
          <w:rFonts w:asciiTheme="minorHAnsi" w:hAnsiTheme="minorHAnsi" w:cstheme="minorHAnsi"/>
          <w:color w:val="000000"/>
          <w:sz w:val="22"/>
          <w:szCs w:val="22"/>
        </w:rPr>
      </w:pPr>
      <w:r w:rsidRPr="000D3DA0">
        <w:rPr>
          <w:rFonts w:asciiTheme="minorHAnsi" w:hAnsiTheme="minorHAnsi" w:cstheme="minorHAnsi"/>
          <w:color w:val="000000"/>
          <w:sz w:val="22"/>
          <w:szCs w:val="22"/>
        </w:rPr>
        <w:t>Decreases inspired respiratory flow and expiratory and inspiratory tidal volumes</w:t>
      </w:r>
    </w:p>
    <w:p w14:paraId="5AA7E576" w14:textId="77777777" w:rsidR="006317AD" w:rsidRPr="000D3DA0" w:rsidRDefault="006317AD" w:rsidP="006317AD">
      <w:pPr>
        <w:pStyle w:val="ListParagraph"/>
        <w:numPr>
          <w:ilvl w:val="0"/>
          <w:numId w:val="12"/>
        </w:numPr>
        <w:rPr>
          <w:rFonts w:eastAsia="Times New Roman" w:cstheme="minorHAnsi"/>
        </w:rPr>
      </w:pPr>
      <w:r w:rsidRPr="000D3DA0">
        <w:rPr>
          <w:rFonts w:eastAsia="Times New Roman" w:cstheme="minorHAnsi"/>
        </w:rPr>
        <w:t>Breaching a dolphin slows down their breathing and increases the effort required to breath</w:t>
      </w:r>
    </w:p>
    <w:p w14:paraId="761ABF19" w14:textId="77777777" w:rsidR="006317AD" w:rsidRPr="00400E1A" w:rsidRDefault="006317AD" w:rsidP="006317AD">
      <w:pPr>
        <w:pStyle w:val="ListParagraph"/>
        <w:numPr>
          <w:ilvl w:val="0"/>
          <w:numId w:val="12"/>
        </w:numPr>
        <w:rPr>
          <w:rFonts w:eastAsia="Times New Roman" w:cstheme="minorHAnsi"/>
        </w:rPr>
      </w:pPr>
      <w:r w:rsidRPr="000D3DA0">
        <w:rPr>
          <w:rFonts w:eastAsia="Times New Roman" w:cstheme="minorHAnsi"/>
          <w:color w:val="000000"/>
        </w:rPr>
        <w:t>However, there were no changes in expired O2 levels during the 10-minute time limit of this study, thus the dolphins were able to compensate for these reductions through their respiratory functional reserve.</w:t>
      </w:r>
    </w:p>
    <w:p w14:paraId="7B221D1C" w14:textId="77777777" w:rsidR="006317AD" w:rsidRDefault="006317AD" w:rsidP="006317AD">
      <w:pPr>
        <w:spacing w:line="240" w:lineRule="auto"/>
        <w:contextualSpacing/>
        <w:rPr>
          <w:rFonts w:eastAsia="Times New Roman" w:cstheme="minorHAnsi"/>
        </w:rPr>
      </w:pPr>
    </w:p>
    <w:p w14:paraId="66C3C543" w14:textId="77777777" w:rsidR="006317AD" w:rsidRDefault="006317AD" w:rsidP="006317AD">
      <w:pPr>
        <w:spacing w:line="240" w:lineRule="auto"/>
        <w:contextualSpacing/>
        <w:rPr>
          <w:rFonts w:eastAsia="Times New Roman" w:cstheme="minorHAnsi"/>
          <w:b/>
          <w:bCs/>
        </w:rPr>
      </w:pPr>
      <w:r>
        <w:rPr>
          <w:rFonts w:eastAsia="Times New Roman" w:cstheme="minorHAnsi"/>
          <w:b/>
          <w:bCs/>
        </w:rPr>
        <w:t>Related Articles:</w:t>
      </w:r>
    </w:p>
    <w:p w14:paraId="7F73928C" w14:textId="77777777" w:rsidR="006317AD" w:rsidRPr="00400E1A" w:rsidRDefault="006317AD" w:rsidP="006317AD">
      <w:pPr>
        <w:spacing w:line="240" w:lineRule="auto"/>
        <w:contextualSpacing/>
        <w:rPr>
          <w:rFonts w:eastAsia="Times New Roman" w:cstheme="minorHAnsi"/>
        </w:rPr>
      </w:pPr>
      <w:proofErr w:type="spellStart"/>
      <w:r w:rsidRPr="00400E1A">
        <w:rPr>
          <w:rFonts w:eastAsia="Times New Roman" w:cstheme="minorHAnsi"/>
        </w:rPr>
        <w:t>Borque</w:t>
      </w:r>
      <w:proofErr w:type="spellEnd"/>
      <w:r w:rsidRPr="00400E1A">
        <w:rPr>
          <w:rFonts w:eastAsia="Times New Roman" w:cstheme="minorHAnsi"/>
        </w:rPr>
        <w:t xml:space="preserve">-Espinosa A, Burgos F, Dennison S, et al. Pulmonary function testing as a diagnostic tool to assess respiratory health in bottlenose dolphins Tursiops </w:t>
      </w:r>
      <w:proofErr w:type="spellStart"/>
      <w:r w:rsidRPr="00400E1A">
        <w:rPr>
          <w:rFonts w:eastAsia="Times New Roman" w:cstheme="minorHAnsi"/>
        </w:rPr>
        <w:t>truncatus</w:t>
      </w:r>
      <w:proofErr w:type="spellEnd"/>
      <w:r w:rsidRPr="00400E1A">
        <w:rPr>
          <w:rFonts w:eastAsia="Times New Roman" w:cstheme="minorHAnsi"/>
        </w:rPr>
        <w:t>. </w:t>
      </w:r>
      <w:r w:rsidRPr="00400E1A">
        <w:rPr>
          <w:rFonts w:eastAsia="Times New Roman" w:cstheme="minorHAnsi"/>
          <w:i/>
          <w:iCs/>
        </w:rPr>
        <w:t xml:space="preserve">Dis </w:t>
      </w:r>
      <w:proofErr w:type="spellStart"/>
      <w:r w:rsidRPr="00400E1A">
        <w:rPr>
          <w:rFonts w:eastAsia="Times New Roman" w:cstheme="minorHAnsi"/>
          <w:i/>
          <w:iCs/>
        </w:rPr>
        <w:t>Aquat</w:t>
      </w:r>
      <w:proofErr w:type="spellEnd"/>
      <w:r w:rsidRPr="00400E1A">
        <w:rPr>
          <w:rFonts w:eastAsia="Times New Roman" w:cstheme="minorHAnsi"/>
          <w:i/>
          <w:iCs/>
        </w:rPr>
        <w:t xml:space="preserve"> Organ</w:t>
      </w:r>
      <w:r w:rsidRPr="00400E1A">
        <w:rPr>
          <w:rFonts w:eastAsia="Times New Roman" w:cstheme="minorHAnsi"/>
        </w:rPr>
        <w:t xml:space="preserve">. </w:t>
      </w:r>
      <w:proofErr w:type="gramStart"/>
      <w:r w:rsidRPr="00400E1A">
        <w:rPr>
          <w:rFonts w:eastAsia="Times New Roman" w:cstheme="minorHAnsi"/>
        </w:rPr>
        <w:t>2020;138:17</w:t>
      </w:r>
      <w:proofErr w:type="gramEnd"/>
      <w:r w:rsidRPr="00400E1A">
        <w:rPr>
          <w:rFonts w:eastAsia="Times New Roman" w:cstheme="minorHAnsi"/>
        </w:rPr>
        <w:t>-27</w:t>
      </w:r>
    </w:p>
    <w:p w14:paraId="0FCA04B1" w14:textId="77777777" w:rsidR="006317AD" w:rsidRDefault="006317AD" w:rsidP="006317AD">
      <w:pPr>
        <w:spacing w:line="240" w:lineRule="auto"/>
        <w:contextualSpacing/>
        <w:rPr>
          <w:rFonts w:eastAsia="Times New Roman" w:cstheme="minorHAnsi"/>
        </w:rPr>
      </w:pPr>
    </w:p>
    <w:p w14:paraId="5422A948" w14:textId="77777777" w:rsidR="006317AD" w:rsidRDefault="006317AD" w:rsidP="006317AD">
      <w:pPr>
        <w:spacing w:line="240" w:lineRule="auto"/>
        <w:contextualSpacing/>
        <w:jc w:val="both"/>
        <w:rPr>
          <w:i/>
          <w:iCs/>
        </w:rPr>
      </w:pPr>
    </w:p>
    <w:p w14:paraId="50C504B9" w14:textId="77777777" w:rsidR="006317AD" w:rsidRDefault="006317AD" w:rsidP="006317AD">
      <w:pPr>
        <w:spacing w:line="240" w:lineRule="auto"/>
        <w:contextualSpacing/>
        <w:jc w:val="both"/>
      </w:pPr>
      <w:r>
        <w:rPr>
          <w:i/>
          <w:iCs/>
        </w:rPr>
        <w:t>JZWM</w:t>
      </w:r>
      <w:r w:rsidRPr="00742F7A">
        <w:t xml:space="preserve"> 2023</w:t>
      </w:r>
      <w:r>
        <w:t xml:space="preserve"> </w:t>
      </w:r>
      <w:r w:rsidRPr="00742F7A">
        <w:t>54(1):119-130</w:t>
      </w:r>
    </w:p>
    <w:p w14:paraId="315317AE" w14:textId="77777777" w:rsidR="006317AD" w:rsidRDefault="006317AD" w:rsidP="006317AD">
      <w:pPr>
        <w:spacing w:line="240" w:lineRule="auto"/>
        <w:contextualSpacing/>
        <w:jc w:val="both"/>
        <w:rPr>
          <w:b/>
          <w:bCs/>
        </w:rPr>
      </w:pPr>
      <w:hyperlink r:id="rId10" w:history="1">
        <w:r w:rsidRPr="00742F7A">
          <w:rPr>
            <w:rStyle w:val="Hyperlink"/>
            <w:b/>
            <w:bCs/>
          </w:rPr>
          <w:t>VALIDATION OF ENZYME-LINKED IMMUNOSORBENT ASSAY TECHNIQUES TO MEASURE SERUM DEHYDROEPIANDROSTERONE (DHEA) AND DHEA-S IN NARWHALS (</w:t>
        </w:r>
        <w:r w:rsidRPr="00742F7A">
          <w:rPr>
            <w:rStyle w:val="Hyperlink"/>
            <w:b/>
            <w:bCs/>
            <w:i/>
            <w:iCs/>
          </w:rPr>
          <w:t>MONODON MONOCEROS</w:t>
        </w:r>
        <w:r w:rsidRPr="00742F7A">
          <w:rPr>
            <w:rStyle w:val="Hyperlink"/>
            <w:b/>
            <w:bCs/>
          </w:rPr>
          <w:t>)</w:t>
        </w:r>
      </w:hyperlink>
    </w:p>
    <w:p w14:paraId="5BC04C52" w14:textId="77777777" w:rsidR="006317AD" w:rsidRDefault="006317AD" w:rsidP="006317AD">
      <w:pPr>
        <w:spacing w:line="240" w:lineRule="auto"/>
        <w:contextualSpacing/>
        <w:jc w:val="both"/>
      </w:pPr>
      <w:proofErr w:type="spellStart"/>
      <w:r w:rsidRPr="00742F7A">
        <w:t>Béland</w:t>
      </w:r>
      <w:proofErr w:type="spellEnd"/>
      <w:r w:rsidRPr="00742F7A">
        <w:t xml:space="preserve"> K, Lair S, </w:t>
      </w:r>
      <w:proofErr w:type="spellStart"/>
      <w:r w:rsidRPr="00742F7A">
        <w:t>Guay</w:t>
      </w:r>
      <w:proofErr w:type="spellEnd"/>
      <w:r w:rsidRPr="00742F7A">
        <w:t xml:space="preserve"> M, et al</w:t>
      </w:r>
    </w:p>
    <w:p w14:paraId="7B3CC505" w14:textId="77777777" w:rsidR="006317AD" w:rsidRPr="004335C3" w:rsidRDefault="006317AD" w:rsidP="006317AD">
      <w:pPr>
        <w:spacing w:line="240" w:lineRule="auto"/>
        <w:contextualSpacing/>
        <w:jc w:val="both"/>
      </w:pPr>
    </w:p>
    <w:p w14:paraId="655F4BD9" w14:textId="77777777" w:rsidR="006317AD" w:rsidRPr="005E0220" w:rsidRDefault="006317AD" w:rsidP="006317AD">
      <w:pPr>
        <w:spacing w:line="240" w:lineRule="auto"/>
        <w:contextualSpacing/>
        <w:jc w:val="both"/>
      </w:pPr>
      <w:r w:rsidRPr="004335C3">
        <w:rPr>
          <w:b/>
          <w:bCs/>
        </w:rPr>
        <w:t>ABSTRACT:</w:t>
      </w:r>
      <w:r w:rsidRPr="004335C3">
        <w:t xml:space="preserve"> </w:t>
      </w:r>
      <w:r w:rsidRPr="005E0220">
        <w:t>Narwhals (</w:t>
      </w:r>
      <w:r w:rsidRPr="005E0220">
        <w:rPr>
          <w:i/>
          <w:iCs/>
        </w:rPr>
        <w:t>Monodon monoceros</w:t>
      </w:r>
      <w:r w:rsidRPr="005E0220">
        <w:t>) are increasingly exposed to anthropogenic disturbances that may increase their stress levels with unknown consequences for the overall population dynamics. The validation and measurement of chronic stress biomarkers could contribute toward improved understanding and conservation efforts for this species. Dehydroepiandrosterone (DHEA) and its sulfated metabolite DHEA-S are collectively referred to as DHEA(S). Serum DHEA(S) concentrations combined in ratios with cortisol [cortisol/DHEA(S)] have been shown to be promising indicators of chronic stress in humans, domestic animals, and wildlife. During field tagging in 2017 and 2018 in Baffin Bay, Nunavut, Canada, 14 wild narwhals were sampled at the beginning and end of the capture-tagging procedures. Serum DHEA(S) were measured with commercially available competitive enzyme-linked immunosorbent assays (ELISA) developed for humans. A partial validation of the ELISA assays was performed by the determination of the intra-assay coefficient of variation, confirmation of the DHEA(S) dilutional linearity, and the calculation of the percentage of recovery. Mean values (nanograms per milliliter ± standard error of the mean) of narwhal serum cortisol, DHEA(S), and cortisol/DHEA(S) ratios, at the beginning and at the end of handling, respectively, are reported (cortisol = 30.74 ± 4.87 and 41.83 ± 4.83; DHEA = 1.01 ± 0.52 and 0.99 ± 0.50; DHEA-S = 8.72 ± 1.68 and 7.70 ± 1.02; cortisol/DHEA = 75.43 ± 24.35 and 84.41 ± 11.76, and cortisol/DHEA-S = 4.16 ± 1.07 and 6.14 ± 1.00). Serum cortisol and cortisol/DHEA-S were statistically higher at the end of the capture (</w:t>
      </w:r>
      <w:r w:rsidRPr="005E0220">
        <w:rPr>
          <w:i/>
          <w:iCs/>
        </w:rPr>
        <w:t>P</w:t>
      </w:r>
      <w:r w:rsidRPr="005E0220">
        <w:t>= 0.024 and </w:t>
      </w:r>
      <w:r w:rsidRPr="005E0220">
        <w:rPr>
          <w:i/>
          <w:iCs/>
        </w:rPr>
        <w:t>P</w:t>
      </w:r>
      <w:r w:rsidRPr="005E0220">
        <w:t>= 0.035, respectively). Moreover, serum cortisol at the end of handling was positively correlated to total body length (</w:t>
      </w:r>
      <w:r w:rsidRPr="005E0220">
        <w:rPr>
          <w:i/>
          <w:iCs/>
        </w:rPr>
        <w:t>P</w:t>
      </w:r>
      <w:r w:rsidRPr="005E0220">
        <w:t> = 0.042) and tended to be higher in males (</w:t>
      </w:r>
      <w:r w:rsidRPr="005E0220">
        <w:rPr>
          <w:i/>
          <w:iCs/>
        </w:rPr>
        <w:t>P</w:t>
      </w:r>
      <w:r w:rsidRPr="005E0220">
        <w:t> = 0.086). These assays proved easy to perform, rapid, and suitable for measuring serum DHEA(S) of narwhals and that calculated cortisol/DHEA(S) are potential biomarkers for chronic stress in narwhals and possibly other cetaceans.</w:t>
      </w:r>
    </w:p>
    <w:p w14:paraId="13EDA791" w14:textId="77777777" w:rsidR="006317AD" w:rsidRPr="004335C3" w:rsidRDefault="006317AD" w:rsidP="006317AD">
      <w:pPr>
        <w:spacing w:line="240" w:lineRule="auto"/>
        <w:contextualSpacing/>
        <w:jc w:val="both"/>
      </w:pPr>
    </w:p>
    <w:p w14:paraId="1F421016" w14:textId="77777777" w:rsidR="006317AD" w:rsidRPr="005E0220" w:rsidRDefault="006317AD" w:rsidP="006317AD">
      <w:pPr>
        <w:spacing w:line="240" w:lineRule="auto"/>
        <w:contextualSpacing/>
        <w:rPr>
          <w:rFonts w:ascii="Times New Roman" w:eastAsia="Times New Roman" w:hAnsi="Times New Roman" w:cs="Times New Roman"/>
        </w:rPr>
      </w:pPr>
      <w:r w:rsidRPr="005E0220">
        <w:rPr>
          <w:rFonts w:ascii="Calibri" w:eastAsia="Times New Roman" w:hAnsi="Calibri" w:cs="Calibri"/>
          <w:b/>
          <w:bCs/>
          <w:color w:val="000000"/>
        </w:rPr>
        <w:t>Introduction:</w:t>
      </w:r>
    </w:p>
    <w:p w14:paraId="446FEE7D" w14:textId="77777777" w:rsidR="006317AD" w:rsidRPr="005E0220" w:rsidRDefault="006317AD" w:rsidP="006317AD">
      <w:pPr>
        <w:numPr>
          <w:ilvl w:val="0"/>
          <w:numId w:val="14"/>
        </w:numPr>
        <w:spacing w:line="240" w:lineRule="auto"/>
        <w:contextualSpacing/>
        <w:textAlignment w:val="baseline"/>
        <w:rPr>
          <w:rFonts w:ascii="Calibri" w:eastAsia="Times New Roman" w:hAnsi="Calibri" w:cs="Calibri"/>
          <w:b/>
          <w:bCs/>
          <w:color w:val="000000"/>
        </w:rPr>
      </w:pPr>
      <w:r w:rsidRPr="005E0220">
        <w:rPr>
          <w:rFonts w:ascii="Calibri" w:eastAsia="Times New Roman" w:hAnsi="Calibri" w:cs="Calibri"/>
          <w:color w:val="000000"/>
        </w:rPr>
        <w:t>Risks to narwhal</w:t>
      </w:r>
      <w:r>
        <w:rPr>
          <w:rFonts w:ascii="Calibri" w:eastAsia="Times New Roman" w:hAnsi="Calibri" w:cs="Calibri"/>
          <w:color w:val="000000"/>
        </w:rPr>
        <w:t xml:space="preserve">s: </w:t>
      </w:r>
      <w:r w:rsidRPr="005E0220">
        <w:rPr>
          <w:rFonts w:ascii="Calibri" w:eastAsia="Times New Roman" w:hAnsi="Calibri" w:cs="Calibri"/>
          <w:color w:val="000000"/>
        </w:rPr>
        <w:t>reduced sea ice, increased killer whale, tourism and cruise ships, shipping of natural resources</w:t>
      </w:r>
    </w:p>
    <w:p w14:paraId="151D0ABA" w14:textId="77777777" w:rsidR="006317AD" w:rsidRPr="005E0220" w:rsidRDefault="006317AD" w:rsidP="006317AD">
      <w:pPr>
        <w:numPr>
          <w:ilvl w:val="0"/>
          <w:numId w:val="14"/>
        </w:numPr>
        <w:spacing w:line="240" w:lineRule="auto"/>
        <w:contextualSpacing/>
        <w:textAlignment w:val="baseline"/>
        <w:rPr>
          <w:rFonts w:ascii="Calibri" w:eastAsia="Times New Roman" w:hAnsi="Calibri" w:cs="Calibri"/>
          <w:b/>
          <w:bCs/>
          <w:color w:val="000000"/>
        </w:rPr>
      </w:pPr>
      <w:r w:rsidRPr="005E0220">
        <w:rPr>
          <w:rFonts w:ascii="Calibri" w:eastAsia="Times New Roman" w:hAnsi="Calibri" w:cs="Calibri"/>
          <w:color w:val="000000"/>
        </w:rPr>
        <w:t>Cortisol most common reported biomarker for physiologic stress</w:t>
      </w:r>
      <w:r>
        <w:rPr>
          <w:rFonts w:ascii="Calibri" w:eastAsia="Times New Roman" w:hAnsi="Calibri" w:cs="Calibri"/>
          <w:color w:val="000000"/>
        </w:rPr>
        <w:t xml:space="preserve"> in mammals</w:t>
      </w:r>
    </w:p>
    <w:p w14:paraId="163148D4" w14:textId="77777777" w:rsidR="006317AD" w:rsidRPr="005E0220" w:rsidRDefault="006317AD" w:rsidP="006317AD">
      <w:pPr>
        <w:numPr>
          <w:ilvl w:val="0"/>
          <w:numId w:val="14"/>
        </w:numPr>
        <w:spacing w:line="240" w:lineRule="auto"/>
        <w:contextualSpacing/>
        <w:textAlignment w:val="baseline"/>
        <w:rPr>
          <w:rFonts w:ascii="Calibri" w:eastAsia="Times New Roman" w:hAnsi="Calibri" w:cs="Calibri"/>
          <w:color w:val="222222"/>
        </w:rPr>
      </w:pPr>
      <w:r w:rsidRPr="005E0220">
        <w:rPr>
          <w:rFonts w:ascii="Calibri" w:eastAsia="Times New Roman" w:hAnsi="Calibri" w:cs="Calibri"/>
          <w:color w:val="222222"/>
          <w:shd w:val="clear" w:color="auto" w:fill="FFFFFF"/>
        </w:rPr>
        <w:t>Cortisol shown to be elevated in narwhal blubber with chronic stress</w:t>
      </w:r>
      <w:r>
        <w:rPr>
          <w:rFonts w:ascii="Calibri" w:eastAsia="Times New Roman" w:hAnsi="Calibri" w:cs="Calibri"/>
          <w:color w:val="222222"/>
          <w:shd w:val="clear" w:color="auto" w:fill="FFFFFF"/>
        </w:rPr>
        <w:t xml:space="preserve"> (e.g., entrapped in ice)</w:t>
      </w:r>
    </w:p>
    <w:p w14:paraId="7BC3BCE3" w14:textId="77777777" w:rsidR="006317AD" w:rsidRPr="005E0220" w:rsidRDefault="006317AD" w:rsidP="006317AD">
      <w:pPr>
        <w:numPr>
          <w:ilvl w:val="1"/>
          <w:numId w:val="14"/>
        </w:numPr>
        <w:spacing w:line="240" w:lineRule="auto"/>
        <w:contextualSpacing/>
        <w:textAlignment w:val="baseline"/>
        <w:rPr>
          <w:rFonts w:ascii="Calibri" w:eastAsia="Times New Roman" w:hAnsi="Calibri" w:cs="Calibri"/>
          <w:color w:val="222222"/>
        </w:rPr>
      </w:pPr>
      <w:r w:rsidRPr="005E0220">
        <w:rPr>
          <w:rFonts w:ascii="Calibri" w:eastAsia="Times New Roman" w:hAnsi="Calibri" w:cs="Calibri"/>
          <w:color w:val="222222"/>
          <w:shd w:val="clear" w:color="auto" w:fill="FFFFFF"/>
        </w:rPr>
        <w:lastRenderedPageBreak/>
        <w:t>Usually lower in cetaceans than stressed pinnipeds and terrestrial mammals</w:t>
      </w:r>
    </w:p>
    <w:p w14:paraId="1F32426F" w14:textId="77777777" w:rsidR="006317AD" w:rsidRPr="00164F99" w:rsidRDefault="006317AD" w:rsidP="006317AD">
      <w:pPr>
        <w:numPr>
          <w:ilvl w:val="0"/>
          <w:numId w:val="16"/>
        </w:numPr>
        <w:spacing w:line="240" w:lineRule="auto"/>
        <w:contextualSpacing/>
        <w:textAlignment w:val="baseline"/>
        <w:rPr>
          <w:rFonts w:eastAsia="Times New Roman"/>
          <w:color w:val="000000"/>
        </w:rPr>
      </w:pPr>
      <w:r w:rsidRPr="00164F99">
        <w:rPr>
          <w:rFonts w:ascii="Calibri" w:eastAsia="Times New Roman" w:hAnsi="Calibri" w:cs="Calibri"/>
          <w:color w:val="000000"/>
        </w:rPr>
        <w:t>Dehydroepiandrosterone (DHEA) and its sulfated metabolite, DHEA-S, collectively referred to as DHEA(S), are androgen hormone precursors</w:t>
      </w:r>
    </w:p>
    <w:p w14:paraId="662B5A70" w14:textId="77777777" w:rsidR="006317AD" w:rsidRPr="00164F99" w:rsidRDefault="006317AD" w:rsidP="006317AD">
      <w:pPr>
        <w:numPr>
          <w:ilvl w:val="0"/>
          <w:numId w:val="16"/>
        </w:numPr>
        <w:spacing w:line="240" w:lineRule="auto"/>
        <w:contextualSpacing/>
        <w:textAlignment w:val="baseline"/>
        <w:rPr>
          <w:rFonts w:ascii="Calibri" w:eastAsia="Times New Roman" w:hAnsi="Calibri" w:cs="Calibri"/>
          <w:color w:val="000000"/>
        </w:rPr>
      </w:pPr>
      <w:r w:rsidRPr="00164F99">
        <w:rPr>
          <w:rFonts w:ascii="Calibri" w:eastAsia="Times New Roman" w:hAnsi="Calibri" w:cs="Calibri"/>
          <w:color w:val="000000"/>
        </w:rPr>
        <w:t>Both cortisol and DHEA(S) are secreted by adrenal cortex following ACTH stimulation, but cortisol is a catabolic hormone, while DHEA(S) are anabolic hormones and have a protective and regenerative role</w:t>
      </w:r>
    </w:p>
    <w:p w14:paraId="28396AC8" w14:textId="77777777" w:rsidR="006317AD" w:rsidRPr="00164F99" w:rsidRDefault="006317AD" w:rsidP="006317AD">
      <w:pPr>
        <w:numPr>
          <w:ilvl w:val="0"/>
          <w:numId w:val="16"/>
        </w:numPr>
        <w:spacing w:line="240" w:lineRule="auto"/>
        <w:contextualSpacing/>
        <w:textAlignment w:val="baseline"/>
        <w:rPr>
          <w:rFonts w:eastAsia="Times New Roman"/>
          <w:color w:val="000000"/>
        </w:rPr>
      </w:pPr>
      <w:r w:rsidRPr="00164F99">
        <w:rPr>
          <w:rFonts w:ascii="Calibri" w:eastAsia="Times New Roman" w:hAnsi="Calibri" w:cs="Calibri"/>
          <w:color w:val="000000"/>
        </w:rPr>
        <w:t xml:space="preserve">Reported to have neuroprotective, antioxidative, anti-inflammatory, &amp; </w:t>
      </w:r>
      <w:proofErr w:type="spellStart"/>
      <w:r w:rsidRPr="00164F99">
        <w:rPr>
          <w:rFonts w:ascii="Calibri" w:eastAsia="Times New Roman" w:hAnsi="Calibri" w:cs="Calibri"/>
          <w:color w:val="000000"/>
        </w:rPr>
        <w:t>antiglucocorticoid</w:t>
      </w:r>
      <w:proofErr w:type="spellEnd"/>
      <w:r w:rsidRPr="00164F99">
        <w:rPr>
          <w:rFonts w:ascii="Calibri" w:eastAsia="Times New Roman" w:hAnsi="Calibri" w:cs="Calibri"/>
          <w:color w:val="000000"/>
        </w:rPr>
        <w:t xml:space="preserve"> effects in humans</w:t>
      </w:r>
    </w:p>
    <w:p w14:paraId="3DC24A4E" w14:textId="77777777" w:rsidR="006317AD" w:rsidRPr="00164F99" w:rsidRDefault="006317AD" w:rsidP="006317AD">
      <w:pPr>
        <w:numPr>
          <w:ilvl w:val="0"/>
          <w:numId w:val="16"/>
        </w:numPr>
        <w:spacing w:line="240" w:lineRule="auto"/>
        <w:contextualSpacing/>
        <w:textAlignment w:val="baseline"/>
        <w:rPr>
          <w:rFonts w:ascii="Calibri" w:eastAsia="Times New Roman" w:hAnsi="Calibri" w:cs="Calibri"/>
          <w:color w:val="000000"/>
        </w:rPr>
      </w:pPr>
      <w:r w:rsidRPr="00164F99">
        <w:rPr>
          <w:rFonts w:ascii="Calibri" w:eastAsia="Times New Roman" w:hAnsi="Calibri" w:cs="Calibri"/>
          <w:color w:val="000000"/>
        </w:rPr>
        <w:t xml:space="preserve">Ratio of serum cortisol conc. to DHEA(S) reported to represent the balance </w:t>
      </w:r>
      <w:proofErr w:type="spellStart"/>
      <w:r w:rsidRPr="00164F99">
        <w:rPr>
          <w:rFonts w:ascii="Calibri" w:eastAsia="Times New Roman" w:hAnsi="Calibri" w:cs="Calibri"/>
          <w:color w:val="000000"/>
        </w:rPr>
        <w:t>btwn</w:t>
      </w:r>
      <w:proofErr w:type="spellEnd"/>
      <w:r w:rsidRPr="00164F99">
        <w:rPr>
          <w:rFonts w:ascii="Calibri" w:eastAsia="Times New Roman" w:hAnsi="Calibri" w:cs="Calibri"/>
          <w:color w:val="000000"/>
        </w:rPr>
        <w:t xml:space="preserve"> catabolic &amp; anabolic activity </w:t>
      </w:r>
    </w:p>
    <w:p w14:paraId="61A96F65" w14:textId="77777777" w:rsidR="006317AD" w:rsidRPr="00164F99" w:rsidRDefault="006317AD" w:rsidP="006317AD">
      <w:pPr>
        <w:numPr>
          <w:ilvl w:val="1"/>
          <w:numId w:val="17"/>
        </w:numPr>
        <w:spacing w:line="240" w:lineRule="auto"/>
        <w:contextualSpacing/>
        <w:textAlignment w:val="baseline"/>
        <w:rPr>
          <w:rFonts w:ascii="Calibri" w:eastAsia="Times New Roman" w:hAnsi="Calibri" w:cs="Calibri"/>
          <w:color w:val="000000"/>
        </w:rPr>
      </w:pPr>
      <w:r w:rsidRPr="00164F99">
        <w:rPr>
          <w:rFonts w:ascii="Calibri" w:eastAsia="Times New Roman" w:hAnsi="Calibri" w:cs="Calibri"/>
          <w:color w:val="000000"/>
        </w:rPr>
        <w:t xml:space="preserve">Cortisol/ DHEA(S) ratios are generally higher in chronically stressed </w:t>
      </w:r>
      <w:proofErr w:type="gramStart"/>
      <w:r w:rsidRPr="00164F99">
        <w:rPr>
          <w:rFonts w:ascii="Calibri" w:eastAsia="Times New Roman" w:hAnsi="Calibri" w:cs="Calibri"/>
          <w:color w:val="000000"/>
        </w:rPr>
        <w:t>animals,</w:t>
      </w:r>
      <w:proofErr w:type="gramEnd"/>
      <w:r w:rsidRPr="00164F99">
        <w:rPr>
          <w:rFonts w:ascii="Calibri" w:eastAsia="Times New Roman" w:hAnsi="Calibri" w:cs="Calibri"/>
          <w:color w:val="000000"/>
        </w:rPr>
        <w:t xml:space="preserve"> hence DHEA(S) and cortisol/ DHEA(S) ratios have the potential to discriminate acute from chronic stress responses</w:t>
      </w:r>
    </w:p>
    <w:p w14:paraId="3C236676" w14:textId="77777777" w:rsidR="006317AD" w:rsidRPr="00164F99" w:rsidRDefault="006317AD" w:rsidP="006317AD">
      <w:pPr>
        <w:numPr>
          <w:ilvl w:val="2"/>
          <w:numId w:val="18"/>
        </w:numPr>
        <w:spacing w:line="240" w:lineRule="auto"/>
        <w:contextualSpacing/>
        <w:textAlignment w:val="baseline"/>
        <w:rPr>
          <w:rFonts w:ascii="Calibri" w:eastAsia="Times New Roman" w:hAnsi="Calibri" w:cs="Calibri"/>
          <w:color w:val="000000"/>
        </w:rPr>
      </w:pPr>
      <w:r w:rsidRPr="00164F99">
        <w:rPr>
          <w:rFonts w:ascii="Calibri" w:eastAsia="Times New Roman" w:hAnsi="Calibri" w:cs="Calibri"/>
          <w:color w:val="000000"/>
        </w:rPr>
        <w:t>physiologic phenomenon of chronic stress seems to be the result of a dysregulation in the hypothalamic-pituitary-adrenal axis leading to chronically decreased DHEA(S).</w:t>
      </w:r>
    </w:p>
    <w:p w14:paraId="351E7E81" w14:textId="77777777" w:rsidR="006317AD" w:rsidRPr="005E0220" w:rsidRDefault="006317AD" w:rsidP="006317AD">
      <w:pPr>
        <w:numPr>
          <w:ilvl w:val="0"/>
          <w:numId w:val="14"/>
        </w:numPr>
        <w:spacing w:line="240" w:lineRule="auto"/>
        <w:contextualSpacing/>
        <w:textAlignment w:val="baseline"/>
        <w:rPr>
          <w:rFonts w:ascii="Calibri" w:eastAsia="Times New Roman" w:hAnsi="Calibri" w:cs="Calibri"/>
          <w:color w:val="222222"/>
        </w:rPr>
      </w:pPr>
      <w:r w:rsidRPr="005E0220">
        <w:rPr>
          <w:rFonts w:ascii="Calibri" w:eastAsia="Times New Roman" w:hAnsi="Calibri" w:cs="Calibri"/>
          <w:color w:val="222222"/>
          <w:shd w:val="clear" w:color="auto" w:fill="FFFFFF"/>
        </w:rPr>
        <w:t>DHEA in killer whales was much higher than harbor and gray seals and humans</w:t>
      </w:r>
    </w:p>
    <w:p w14:paraId="6DE7F932" w14:textId="77777777" w:rsidR="006317AD" w:rsidRPr="005E0220" w:rsidRDefault="006317AD" w:rsidP="006317AD">
      <w:pPr>
        <w:numPr>
          <w:ilvl w:val="1"/>
          <w:numId w:val="14"/>
        </w:numPr>
        <w:spacing w:line="240" w:lineRule="auto"/>
        <w:contextualSpacing/>
        <w:textAlignment w:val="baseline"/>
        <w:rPr>
          <w:rFonts w:ascii="Calibri" w:eastAsia="Times New Roman" w:hAnsi="Calibri" w:cs="Calibri"/>
          <w:color w:val="222222"/>
        </w:rPr>
      </w:pPr>
      <w:r w:rsidRPr="005E0220">
        <w:rPr>
          <w:rFonts w:ascii="Calibri" w:eastAsia="Times New Roman" w:hAnsi="Calibri" w:cs="Calibri"/>
          <w:color w:val="222222"/>
          <w:shd w:val="clear" w:color="auto" w:fill="FFFFFF"/>
        </w:rPr>
        <w:t>DHEA tends to increase during repro and gestation in killer whales but decreases with advanced age</w:t>
      </w:r>
    </w:p>
    <w:p w14:paraId="774FE74D" w14:textId="77777777" w:rsidR="006317AD" w:rsidRPr="005E0220" w:rsidRDefault="006317AD" w:rsidP="006317AD">
      <w:pPr>
        <w:spacing w:line="240" w:lineRule="auto"/>
        <w:contextualSpacing/>
        <w:rPr>
          <w:rFonts w:ascii="Times New Roman" w:eastAsia="Times New Roman" w:hAnsi="Times New Roman" w:cs="Times New Roman"/>
          <w:b/>
          <w:bCs/>
        </w:rPr>
      </w:pPr>
      <w:r w:rsidRPr="005E0220">
        <w:rPr>
          <w:rFonts w:ascii="Calibri" w:eastAsia="Times New Roman" w:hAnsi="Calibri" w:cs="Calibri"/>
          <w:b/>
          <w:bCs/>
          <w:color w:val="222222"/>
          <w:shd w:val="clear" w:color="auto" w:fill="FFFFFF"/>
        </w:rPr>
        <w:t>Key Points</w:t>
      </w:r>
    </w:p>
    <w:p w14:paraId="4F6963CA" w14:textId="77777777" w:rsidR="006317AD" w:rsidRPr="00164F99" w:rsidRDefault="006317AD" w:rsidP="006317AD">
      <w:pPr>
        <w:numPr>
          <w:ilvl w:val="0"/>
          <w:numId w:val="19"/>
        </w:numPr>
        <w:spacing w:line="240" w:lineRule="auto"/>
        <w:contextualSpacing/>
        <w:jc w:val="both"/>
        <w:rPr>
          <w:rFonts w:ascii="Calibri" w:eastAsia="Times New Roman" w:hAnsi="Calibri" w:cs="Calibri"/>
          <w:color w:val="222222"/>
          <w:shd w:val="clear" w:color="auto" w:fill="FFFFFF"/>
        </w:rPr>
      </w:pPr>
      <w:r>
        <w:rPr>
          <w:rFonts w:ascii="Calibri" w:eastAsia="Times New Roman" w:hAnsi="Calibri" w:cs="Calibri"/>
          <w:color w:val="222222"/>
          <w:shd w:val="clear" w:color="auto" w:fill="FFFFFF"/>
        </w:rPr>
        <w:t>T</w:t>
      </w:r>
      <w:r w:rsidRPr="00164F99">
        <w:rPr>
          <w:rFonts w:ascii="Calibri" w:eastAsia="Times New Roman" w:hAnsi="Calibri" w:cs="Calibri"/>
          <w:color w:val="222222"/>
          <w:shd w:val="clear" w:color="auto" w:fill="FFFFFF"/>
        </w:rPr>
        <w:t>wo commercially available ELISAs provide easy, rapid</w:t>
      </w:r>
      <w:r>
        <w:rPr>
          <w:rFonts w:ascii="Calibri" w:eastAsia="Times New Roman" w:hAnsi="Calibri" w:cs="Calibri"/>
          <w:color w:val="222222"/>
          <w:shd w:val="clear" w:color="auto" w:fill="FFFFFF"/>
        </w:rPr>
        <w:t xml:space="preserve"> </w:t>
      </w:r>
      <w:r w:rsidRPr="00164F99">
        <w:rPr>
          <w:rFonts w:ascii="Calibri" w:eastAsia="Times New Roman" w:hAnsi="Calibri" w:cs="Calibri"/>
          <w:color w:val="222222"/>
          <w:shd w:val="clear" w:color="auto" w:fill="FFFFFF"/>
        </w:rPr>
        <w:t>assays for measuring serum DHEA and DHEA-S in narwhals</w:t>
      </w:r>
    </w:p>
    <w:p w14:paraId="19262F1A" w14:textId="77777777" w:rsidR="006317AD" w:rsidRPr="00164F99" w:rsidRDefault="006317AD" w:rsidP="006317AD">
      <w:pPr>
        <w:numPr>
          <w:ilvl w:val="0"/>
          <w:numId w:val="19"/>
        </w:numPr>
        <w:spacing w:line="240" w:lineRule="auto"/>
        <w:contextualSpacing/>
        <w:jc w:val="both"/>
        <w:rPr>
          <w:rFonts w:ascii="Calibri" w:eastAsia="Times New Roman" w:hAnsi="Calibri" w:cs="Calibri"/>
          <w:color w:val="222222"/>
          <w:shd w:val="clear" w:color="auto" w:fill="FFFFFF"/>
        </w:rPr>
      </w:pPr>
      <w:r w:rsidRPr="00164F99">
        <w:rPr>
          <w:rFonts w:ascii="Calibri" w:eastAsia="Times New Roman" w:hAnsi="Calibri" w:cs="Calibri"/>
          <w:color w:val="222222"/>
          <w:shd w:val="clear" w:color="auto" w:fill="FFFFFF"/>
        </w:rPr>
        <w:t>Cortisol and cortisol/</w:t>
      </w:r>
      <w:r w:rsidRPr="00164F99">
        <w:rPr>
          <w:rFonts w:ascii="Calibri" w:eastAsia="Times New Roman" w:hAnsi="Calibri" w:cs="Calibri"/>
          <w:color w:val="222222"/>
          <w:u w:val="single"/>
          <w:shd w:val="clear" w:color="auto" w:fill="FFFFFF"/>
        </w:rPr>
        <w:t>DHEA-S</w:t>
      </w:r>
      <w:r w:rsidRPr="00164F99">
        <w:rPr>
          <w:rFonts w:ascii="Calibri" w:eastAsia="Times New Roman" w:hAnsi="Calibri" w:cs="Calibri"/>
          <w:color w:val="222222"/>
          <w:shd w:val="clear" w:color="auto" w:fill="FFFFFF"/>
        </w:rPr>
        <w:t xml:space="preserve"> were significantly higher at the end of the handling period compared to start</w:t>
      </w:r>
    </w:p>
    <w:p w14:paraId="68E9AF71" w14:textId="77777777" w:rsidR="006317AD" w:rsidRPr="00164F99" w:rsidRDefault="006317AD" w:rsidP="006317AD">
      <w:pPr>
        <w:numPr>
          <w:ilvl w:val="0"/>
          <w:numId w:val="19"/>
        </w:numPr>
        <w:spacing w:line="240" w:lineRule="auto"/>
        <w:contextualSpacing/>
        <w:jc w:val="both"/>
        <w:rPr>
          <w:rFonts w:ascii="Calibri" w:eastAsia="Times New Roman" w:hAnsi="Calibri" w:cs="Calibri"/>
          <w:color w:val="222222"/>
          <w:shd w:val="clear" w:color="auto" w:fill="FFFFFF"/>
        </w:rPr>
      </w:pPr>
      <w:r w:rsidRPr="00164F99">
        <w:rPr>
          <w:rFonts w:ascii="Calibri" w:eastAsia="Times New Roman" w:hAnsi="Calibri" w:cs="Calibri"/>
          <w:color w:val="222222"/>
          <w:shd w:val="clear" w:color="auto" w:fill="FFFFFF"/>
        </w:rPr>
        <w:t>DHEA(S) and cortisol/DHEA ratios did NOT differ significantly between the two sampling periods</w:t>
      </w:r>
    </w:p>
    <w:p w14:paraId="67FC6853" w14:textId="77777777" w:rsidR="006317AD" w:rsidRPr="00164F99" w:rsidRDefault="006317AD" w:rsidP="006317AD">
      <w:pPr>
        <w:numPr>
          <w:ilvl w:val="0"/>
          <w:numId w:val="19"/>
        </w:numPr>
        <w:spacing w:line="240" w:lineRule="auto"/>
        <w:contextualSpacing/>
        <w:jc w:val="both"/>
        <w:rPr>
          <w:rFonts w:ascii="Calibri" w:eastAsia="Times New Roman" w:hAnsi="Calibri" w:cs="Calibri"/>
          <w:color w:val="222222"/>
          <w:shd w:val="clear" w:color="auto" w:fill="FFFFFF"/>
        </w:rPr>
      </w:pPr>
      <w:r w:rsidRPr="00164F99">
        <w:rPr>
          <w:rFonts w:ascii="Calibri" w:eastAsia="Times New Roman" w:hAnsi="Calibri" w:cs="Calibri"/>
          <w:color w:val="222222"/>
          <w:shd w:val="clear" w:color="auto" w:fill="FFFFFF"/>
        </w:rPr>
        <w:t>Serum cortisol at end of handling was positively correlated with body length (higher in longer individuals)</w:t>
      </w:r>
    </w:p>
    <w:p w14:paraId="593B3608" w14:textId="77777777" w:rsidR="006317AD" w:rsidRPr="00164F99" w:rsidRDefault="006317AD" w:rsidP="006317AD">
      <w:pPr>
        <w:numPr>
          <w:ilvl w:val="0"/>
          <w:numId w:val="19"/>
        </w:numPr>
        <w:spacing w:line="240" w:lineRule="auto"/>
        <w:contextualSpacing/>
        <w:jc w:val="both"/>
        <w:rPr>
          <w:rFonts w:ascii="Calibri" w:eastAsia="Times New Roman" w:hAnsi="Calibri" w:cs="Calibri"/>
          <w:color w:val="222222"/>
          <w:shd w:val="clear" w:color="auto" w:fill="FFFFFF"/>
        </w:rPr>
      </w:pPr>
      <w:r w:rsidRPr="00164F99">
        <w:rPr>
          <w:rFonts w:ascii="Calibri" w:eastAsia="Times New Roman" w:hAnsi="Calibri" w:cs="Calibri"/>
          <w:color w:val="222222"/>
          <w:shd w:val="clear" w:color="auto" w:fill="FFFFFF"/>
        </w:rPr>
        <w:t>Serum cortisol higher at end of handling in male, but not significant</w:t>
      </w:r>
    </w:p>
    <w:p w14:paraId="4F94B0BD" w14:textId="77777777" w:rsidR="006317AD" w:rsidRPr="00164F99" w:rsidRDefault="006317AD" w:rsidP="006317AD">
      <w:pPr>
        <w:numPr>
          <w:ilvl w:val="0"/>
          <w:numId w:val="19"/>
        </w:numPr>
        <w:spacing w:line="240" w:lineRule="auto"/>
        <w:contextualSpacing/>
        <w:jc w:val="both"/>
        <w:rPr>
          <w:rFonts w:ascii="Calibri" w:eastAsia="Times New Roman" w:hAnsi="Calibri" w:cs="Calibri"/>
          <w:color w:val="222222"/>
          <w:shd w:val="clear" w:color="auto" w:fill="FFFFFF"/>
        </w:rPr>
      </w:pPr>
      <w:r>
        <w:rPr>
          <w:rFonts w:ascii="Calibri" w:eastAsia="Times New Roman" w:hAnsi="Calibri" w:cs="Calibri"/>
          <w:color w:val="222222"/>
          <w:shd w:val="clear" w:color="auto" w:fill="FFFFFF"/>
        </w:rPr>
        <w:t>N</w:t>
      </w:r>
      <w:r w:rsidRPr="00164F99">
        <w:rPr>
          <w:rFonts w:ascii="Calibri" w:eastAsia="Times New Roman" w:hAnsi="Calibri" w:cs="Calibri"/>
          <w:color w:val="222222"/>
          <w:shd w:val="clear" w:color="auto" w:fill="FFFFFF"/>
        </w:rPr>
        <w:t>o statistically significant association between all other measured parameters and total handling time </w:t>
      </w:r>
    </w:p>
    <w:p w14:paraId="164D28B7" w14:textId="77777777" w:rsidR="006317AD" w:rsidRPr="00164F99" w:rsidRDefault="006317AD" w:rsidP="006317AD">
      <w:pPr>
        <w:numPr>
          <w:ilvl w:val="0"/>
          <w:numId w:val="19"/>
        </w:numPr>
        <w:spacing w:line="240" w:lineRule="auto"/>
        <w:contextualSpacing/>
        <w:jc w:val="both"/>
        <w:rPr>
          <w:rFonts w:ascii="Calibri" w:eastAsia="Times New Roman" w:hAnsi="Calibri" w:cs="Calibri"/>
          <w:color w:val="222222"/>
          <w:shd w:val="clear" w:color="auto" w:fill="FFFFFF"/>
        </w:rPr>
      </w:pPr>
      <w:r w:rsidRPr="00164F99">
        <w:rPr>
          <w:rFonts w:ascii="Calibri" w:eastAsia="Times New Roman" w:hAnsi="Calibri" w:cs="Calibri"/>
          <w:color w:val="222222"/>
          <w:shd w:val="clear" w:color="auto" w:fill="FFFFFF"/>
        </w:rPr>
        <w:t xml:space="preserve">Serum cortisol in cetaceans is usually lower compared to pinnipeds and terrestrial mammals experiencing an important stress event such as </w:t>
      </w:r>
      <w:proofErr w:type="gramStart"/>
      <w:r w:rsidRPr="00164F99">
        <w:rPr>
          <w:rFonts w:ascii="Calibri" w:eastAsia="Times New Roman" w:hAnsi="Calibri" w:cs="Calibri"/>
          <w:color w:val="222222"/>
          <w:shd w:val="clear" w:color="auto" w:fill="FFFFFF"/>
        </w:rPr>
        <w:t>capture</w:t>
      </w:r>
      <w:proofErr w:type="gramEnd"/>
      <w:r w:rsidRPr="00164F99">
        <w:rPr>
          <w:rFonts w:ascii="Calibri" w:eastAsia="Times New Roman" w:hAnsi="Calibri" w:cs="Calibri"/>
          <w:color w:val="222222"/>
          <w:shd w:val="clear" w:color="auto" w:fill="FFFFFF"/>
        </w:rPr>
        <w:t xml:space="preserve"> and handling and the values obtained in this study are no exception.</w:t>
      </w:r>
    </w:p>
    <w:p w14:paraId="291FB718" w14:textId="77777777" w:rsidR="006317AD" w:rsidRPr="00164F99" w:rsidRDefault="006317AD" w:rsidP="006317AD">
      <w:pPr>
        <w:numPr>
          <w:ilvl w:val="1"/>
          <w:numId w:val="20"/>
        </w:numPr>
        <w:spacing w:line="240" w:lineRule="auto"/>
        <w:contextualSpacing/>
        <w:jc w:val="both"/>
        <w:rPr>
          <w:rFonts w:ascii="Calibri" w:eastAsia="Times New Roman" w:hAnsi="Calibri" w:cs="Calibri"/>
          <w:color w:val="222222"/>
          <w:shd w:val="clear" w:color="auto" w:fill="FFFFFF"/>
        </w:rPr>
      </w:pPr>
      <w:r w:rsidRPr="00164F99">
        <w:rPr>
          <w:rFonts w:ascii="Calibri" w:eastAsia="Times New Roman" w:hAnsi="Calibri" w:cs="Calibri"/>
          <w:color w:val="222222"/>
          <w:shd w:val="clear" w:color="auto" w:fill="FFFFFF"/>
        </w:rPr>
        <w:t xml:space="preserve">Stressed narwhals were </w:t>
      </w:r>
      <w:proofErr w:type="gramStart"/>
      <w:r w:rsidRPr="00164F99">
        <w:rPr>
          <w:rFonts w:ascii="Calibri" w:eastAsia="Times New Roman" w:hAnsi="Calibri" w:cs="Calibri"/>
          <w:color w:val="222222"/>
          <w:shd w:val="clear" w:color="auto" w:fill="FFFFFF"/>
        </w:rPr>
        <w:t>similar to</w:t>
      </w:r>
      <w:proofErr w:type="gramEnd"/>
      <w:r w:rsidRPr="00164F99">
        <w:rPr>
          <w:rFonts w:ascii="Calibri" w:eastAsia="Times New Roman" w:hAnsi="Calibri" w:cs="Calibri"/>
          <w:color w:val="222222"/>
          <w:shd w:val="clear" w:color="auto" w:fill="FFFFFF"/>
        </w:rPr>
        <w:t xml:space="preserve"> “non stressed” seals</w:t>
      </w:r>
    </w:p>
    <w:p w14:paraId="40BFD98D" w14:textId="77777777" w:rsidR="006317AD" w:rsidRPr="00164F99" w:rsidRDefault="006317AD" w:rsidP="006317AD">
      <w:pPr>
        <w:numPr>
          <w:ilvl w:val="1"/>
          <w:numId w:val="21"/>
        </w:numPr>
        <w:spacing w:line="240" w:lineRule="auto"/>
        <w:contextualSpacing/>
        <w:jc w:val="both"/>
        <w:rPr>
          <w:rFonts w:ascii="Calibri" w:eastAsia="Times New Roman" w:hAnsi="Calibri" w:cs="Calibri"/>
          <w:color w:val="222222"/>
          <w:shd w:val="clear" w:color="auto" w:fill="FFFFFF"/>
        </w:rPr>
      </w:pPr>
      <w:r w:rsidRPr="00164F99">
        <w:rPr>
          <w:rFonts w:ascii="Calibri" w:eastAsia="Times New Roman" w:hAnsi="Calibri" w:cs="Calibri"/>
          <w:color w:val="222222"/>
          <w:shd w:val="clear" w:color="auto" w:fill="FFFFFF"/>
        </w:rPr>
        <w:t xml:space="preserve">Narwhal cortisol was </w:t>
      </w:r>
      <w:proofErr w:type="gramStart"/>
      <w:r w:rsidRPr="00164F99">
        <w:rPr>
          <w:rFonts w:ascii="Calibri" w:eastAsia="Times New Roman" w:hAnsi="Calibri" w:cs="Calibri"/>
          <w:color w:val="222222"/>
          <w:shd w:val="clear" w:color="auto" w:fill="FFFFFF"/>
        </w:rPr>
        <w:t>similar to</w:t>
      </w:r>
      <w:proofErr w:type="gramEnd"/>
      <w:r w:rsidRPr="00164F99">
        <w:rPr>
          <w:rFonts w:ascii="Calibri" w:eastAsia="Times New Roman" w:hAnsi="Calibri" w:cs="Calibri"/>
          <w:color w:val="222222"/>
          <w:shd w:val="clear" w:color="auto" w:fill="FFFFFF"/>
        </w:rPr>
        <w:t xml:space="preserve"> belugas, but much lower than killer whales (no conclusion can be made)</w:t>
      </w:r>
    </w:p>
    <w:p w14:paraId="1B09DB27" w14:textId="77777777" w:rsidR="006317AD" w:rsidRPr="004335C3" w:rsidRDefault="006317AD" w:rsidP="006317AD">
      <w:pPr>
        <w:spacing w:line="240" w:lineRule="auto"/>
        <w:contextualSpacing/>
        <w:jc w:val="both"/>
      </w:pPr>
    </w:p>
    <w:p w14:paraId="64293458" w14:textId="77777777" w:rsidR="006317AD" w:rsidRDefault="006317AD" w:rsidP="006317AD">
      <w:pPr>
        <w:spacing w:line="240" w:lineRule="auto"/>
        <w:contextualSpacing/>
        <w:jc w:val="both"/>
        <w:rPr>
          <w:b/>
          <w:bCs/>
        </w:rPr>
      </w:pPr>
      <w:r w:rsidRPr="004335C3">
        <w:rPr>
          <w:b/>
          <w:bCs/>
        </w:rPr>
        <w:t xml:space="preserve">TLDR: </w:t>
      </w:r>
    </w:p>
    <w:p w14:paraId="1BC9F142" w14:textId="77777777" w:rsidR="006317AD" w:rsidRPr="005E0220" w:rsidRDefault="006317AD" w:rsidP="006317AD">
      <w:pPr>
        <w:numPr>
          <w:ilvl w:val="0"/>
          <w:numId w:val="15"/>
        </w:numPr>
        <w:spacing w:line="240" w:lineRule="auto"/>
        <w:contextualSpacing/>
        <w:textAlignment w:val="baseline"/>
        <w:rPr>
          <w:rFonts w:ascii="Calibri" w:eastAsia="Times New Roman" w:hAnsi="Calibri" w:cs="Calibri"/>
          <w:color w:val="222222"/>
        </w:rPr>
      </w:pPr>
      <w:r w:rsidRPr="005E0220">
        <w:rPr>
          <w:rFonts w:ascii="Calibri" w:eastAsia="Times New Roman" w:hAnsi="Calibri" w:cs="Calibri"/>
          <w:color w:val="222222"/>
          <w:shd w:val="clear" w:color="auto" w:fill="FFFFFF"/>
        </w:rPr>
        <w:t>Commercially available ELISAs were partially validated for DHEA and DHEA-S in narwhals</w:t>
      </w:r>
    </w:p>
    <w:p w14:paraId="2D3929EC" w14:textId="77777777" w:rsidR="006317AD" w:rsidRDefault="006317AD" w:rsidP="006317AD">
      <w:pPr>
        <w:numPr>
          <w:ilvl w:val="0"/>
          <w:numId w:val="15"/>
        </w:numPr>
        <w:spacing w:line="240" w:lineRule="auto"/>
        <w:contextualSpacing/>
        <w:textAlignment w:val="baseline"/>
        <w:rPr>
          <w:rFonts w:ascii="Calibri" w:eastAsia="Times New Roman" w:hAnsi="Calibri" w:cs="Calibri"/>
          <w:color w:val="222222"/>
        </w:rPr>
      </w:pPr>
      <w:r w:rsidRPr="005E0220">
        <w:rPr>
          <w:rFonts w:ascii="Calibri" w:eastAsia="Times New Roman" w:hAnsi="Calibri" w:cs="Calibri"/>
          <w:color w:val="222222"/>
          <w:shd w:val="clear" w:color="auto" w:fill="FFFFFF"/>
        </w:rPr>
        <w:t xml:space="preserve">DHEA(S) and the </w:t>
      </w:r>
      <w:proofErr w:type="spellStart"/>
      <w:proofErr w:type="gramStart"/>
      <w:r w:rsidRPr="005E0220">
        <w:rPr>
          <w:rFonts w:ascii="Calibri" w:eastAsia="Times New Roman" w:hAnsi="Calibri" w:cs="Calibri"/>
          <w:color w:val="222222"/>
          <w:shd w:val="clear" w:color="auto" w:fill="FFFFFF"/>
        </w:rPr>
        <w:t>cortisol:DHEA</w:t>
      </w:r>
      <w:proofErr w:type="spellEnd"/>
      <w:proofErr w:type="gramEnd"/>
      <w:r w:rsidRPr="005E0220">
        <w:rPr>
          <w:rFonts w:ascii="Calibri" w:eastAsia="Times New Roman" w:hAnsi="Calibri" w:cs="Calibri"/>
          <w:color w:val="222222"/>
          <w:shd w:val="clear" w:color="auto" w:fill="FFFFFF"/>
        </w:rPr>
        <w:t>(S) ratios require further investigation to assess their relevance as chronic stress biomarkers in narwhal and other marine mammals</w:t>
      </w:r>
    </w:p>
    <w:p w14:paraId="050A1E60" w14:textId="77777777" w:rsidR="006317AD" w:rsidRPr="005E0220" w:rsidRDefault="006317AD" w:rsidP="006317AD">
      <w:pPr>
        <w:numPr>
          <w:ilvl w:val="0"/>
          <w:numId w:val="15"/>
        </w:numPr>
        <w:spacing w:line="240" w:lineRule="auto"/>
        <w:contextualSpacing/>
        <w:textAlignment w:val="baseline"/>
        <w:rPr>
          <w:rFonts w:ascii="Calibri" w:eastAsia="Times New Roman" w:hAnsi="Calibri" w:cs="Calibri"/>
          <w:b/>
          <w:bCs/>
          <w:color w:val="000000"/>
        </w:rPr>
      </w:pPr>
      <w:r w:rsidRPr="005E0220">
        <w:rPr>
          <w:rFonts w:ascii="Calibri" w:eastAsia="Times New Roman" w:hAnsi="Calibri" w:cs="Calibri"/>
          <w:color w:val="000000"/>
        </w:rPr>
        <w:t>Serum DHEA less affected by acute stress in narwhals</w:t>
      </w:r>
    </w:p>
    <w:p w14:paraId="703C01F8" w14:textId="77777777" w:rsidR="006317AD" w:rsidRPr="004335C3" w:rsidRDefault="006317AD" w:rsidP="006317AD">
      <w:pPr>
        <w:spacing w:line="240" w:lineRule="auto"/>
        <w:contextualSpacing/>
        <w:jc w:val="both"/>
        <w:rPr>
          <w:b/>
          <w:bCs/>
        </w:rPr>
      </w:pPr>
    </w:p>
    <w:p w14:paraId="492470AB" w14:textId="77777777" w:rsidR="006317AD" w:rsidRDefault="006317AD" w:rsidP="006317AD">
      <w:pPr>
        <w:spacing w:line="240" w:lineRule="auto"/>
        <w:contextualSpacing/>
        <w:jc w:val="both"/>
        <w:rPr>
          <w:b/>
          <w:bCs/>
        </w:rPr>
      </w:pPr>
      <w:r w:rsidRPr="004335C3">
        <w:rPr>
          <w:b/>
          <w:bCs/>
        </w:rPr>
        <w:t>Related Articles</w:t>
      </w:r>
      <w:r>
        <w:rPr>
          <w:b/>
          <w:bCs/>
        </w:rPr>
        <w:t>:</w:t>
      </w:r>
    </w:p>
    <w:p w14:paraId="1603276A" w14:textId="77777777" w:rsidR="006317AD" w:rsidRDefault="006317AD" w:rsidP="006317AD">
      <w:pPr>
        <w:spacing w:line="240" w:lineRule="auto"/>
        <w:contextualSpacing/>
        <w:jc w:val="both"/>
      </w:pPr>
      <w:r w:rsidRPr="005E0220">
        <w:t xml:space="preserve">Gundlach NH, </w:t>
      </w:r>
      <w:proofErr w:type="spellStart"/>
      <w:r w:rsidRPr="005E0220">
        <w:t>Schmicke</w:t>
      </w:r>
      <w:proofErr w:type="spellEnd"/>
      <w:r w:rsidRPr="005E0220">
        <w:t xml:space="preserve"> M, Ludes-</w:t>
      </w:r>
      <w:proofErr w:type="spellStart"/>
      <w:r w:rsidRPr="005E0220">
        <w:t>Wehrmeister</w:t>
      </w:r>
      <w:proofErr w:type="spellEnd"/>
      <w:r w:rsidRPr="005E0220">
        <w:t xml:space="preserve"> E, Ulrich SA, Araujo MG, Siebert U. NEW APPROACH TO STRESS RESEARCH IN PHOCIDS-POTENTIAL OF DEHYDROEPIANDROSTERONE AND CORTISOL/DEHYDROEPIANDROSTERONE RATIO </w:t>
      </w:r>
      <w:r w:rsidRPr="005E0220">
        <w:lastRenderedPageBreak/>
        <w:t xml:space="preserve">AS MARKERS FOR STRESS IN HARBOR SEALS </w:t>
      </w:r>
      <w:proofErr w:type="gramStart"/>
      <w:r w:rsidRPr="005E0220">
        <w:t>( PHOCA</w:t>
      </w:r>
      <w:proofErr w:type="gramEnd"/>
      <w:r w:rsidRPr="005E0220">
        <w:t xml:space="preserve"> VITULINA) AND GRAY SEALS ( HALICHOERUS GRYPUS). </w:t>
      </w:r>
      <w:r w:rsidRPr="005E0220">
        <w:rPr>
          <w:i/>
          <w:iCs/>
        </w:rPr>
        <w:t xml:space="preserve">J Zoo </w:t>
      </w:r>
      <w:proofErr w:type="spellStart"/>
      <w:r w:rsidRPr="005E0220">
        <w:rPr>
          <w:i/>
          <w:iCs/>
        </w:rPr>
        <w:t>Wildl</w:t>
      </w:r>
      <w:proofErr w:type="spellEnd"/>
      <w:r w:rsidRPr="005E0220">
        <w:rPr>
          <w:i/>
          <w:iCs/>
        </w:rPr>
        <w:t xml:space="preserve"> Med</w:t>
      </w:r>
      <w:r w:rsidRPr="005E0220">
        <w:t>. 2018;49(3):556-563</w:t>
      </w:r>
    </w:p>
    <w:p w14:paraId="120BD870" w14:textId="77777777" w:rsidR="006317AD" w:rsidRDefault="006317AD" w:rsidP="006317AD">
      <w:pPr>
        <w:spacing w:line="240" w:lineRule="auto"/>
        <w:contextualSpacing/>
        <w:jc w:val="both"/>
      </w:pPr>
    </w:p>
    <w:p w14:paraId="6B7B0CBD" w14:textId="77777777" w:rsidR="006317AD" w:rsidRPr="005E0220" w:rsidRDefault="006317AD" w:rsidP="006317AD">
      <w:pPr>
        <w:spacing w:line="240" w:lineRule="auto"/>
        <w:contextualSpacing/>
        <w:jc w:val="both"/>
      </w:pPr>
      <w:r w:rsidRPr="005E0220">
        <w:t>Miller LJ, Lauderdale LK, Walsh MT, et al. Reference intervals and values for fecal cortisol, aldosterone, and the ratio of cortisol to dehydroepiandrosterone metabolites in four species of cetaceans. </w:t>
      </w:r>
      <w:proofErr w:type="spellStart"/>
      <w:r w:rsidRPr="005E0220">
        <w:rPr>
          <w:i/>
          <w:iCs/>
        </w:rPr>
        <w:t>PLoS</w:t>
      </w:r>
      <w:proofErr w:type="spellEnd"/>
      <w:r w:rsidRPr="005E0220">
        <w:rPr>
          <w:i/>
          <w:iCs/>
        </w:rPr>
        <w:t xml:space="preserve"> One</w:t>
      </w:r>
      <w:r w:rsidRPr="005E0220">
        <w:t>. 2021;16(8</w:t>
      </w:r>
      <w:proofErr w:type="gramStart"/>
      <w:r w:rsidRPr="005E0220">
        <w:t>):e</w:t>
      </w:r>
      <w:proofErr w:type="gramEnd"/>
      <w:r w:rsidRPr="005E0220">
        <w:t>0250331</w:t>
      </w:r>
    </w:p>
    <w:p w14:paraId="6AA49682" w14:textId="77777777" w:rsidR="006317AD" w:rsidRPr="00400E1A" w:rsidRDefault="006317AD" w:rsidP="006317AD">
      <w:pPr>
        <w:spacing w:line="240" w:lineRule="auto"/>
        <w:contextualSpacing/>
        <w:rPr>
          <w:rFonts w:eastAsia="Times New Roman" w:cstheme="minorHAnsi"/>
        </w:rPr>
      </w:pPr>
    </w:p>
    <w:p w14:paraId="472EF023" w14:textId="77777777" w:rsidR="006317AD" w:rsidRPr="00400E1A" w:rsidRDefault="006317AD" w:rsidP="006317AD">
      <w:pPr>
        <w:spacing w:line="240" w:lineRule="auto"/>
        <w:contextualSpacing/>
        <w:rPr>
          <w:rFonts w:eastAsia="Times New Roman" w:cstheme="minorHAnsi"/>
          <w:b/>
          <w:bCs/>
        </w:rPr>
      </w:pPr>
    </w:p>
    <w:p w14:paraId="22F6A13F" w14:textId="6A949FDD" w:rsidR="006317AD" w:rsidRDefault="006317AD" w:rsidP="006317AD">
      <w:pPr>
        <w:spacing w:line="240" w:lineRule="auto"/>
      </w:pPr>
    </w:p>
    <w:p w14:paraId="62C5C10B" w14:textId="578BA214" w:rsidR="006317AD" w:rsidRDefault="006317AD" w:rsidP="006317AD">
      <w:pPr>
        <w:spacing w:line="240" w:lineRule="auto"/>
      </w:pPr>
    </w:p>
    <w:p w14:paraId="22D5C65D" w14:textId="7E27A33D" w:rsidR="006317AD" w:rsidRDefault="006317AD" w:rsidP="006317AD">
      <w:pPr>
        <w:spacing w:line="240" w:lineRule="auto"/>
      </w:pPr>
    </w:p>
    <w:p w14:paraId="51AE69F9" w14:textId="2B245764" w:rsidR="006317AD" w:rsidRDefault="006317AD" w:rsidP="006317AD">
      <w:pPr>
        <w:spacing w:line="240" w:lineRule="auto"/>
      </w:pPr>
    </w:p>
    <w:p w14:paraId="2C395A51" w14:textId="2F4A97BD" w:rsidR="006317AD" w:rsidRDefault="006317AD" w:rsidP="006317AD">
      <w:pPr>
        <w:spacing w:line="240" w:lineRule="auto"/>
      </w:pPr>
    </w:p>
    <w:p w14:paraId="5BABFDFB" w14:textId="77777777" w:rsidR="006317AD" w:rsidRPr="00F23FCB" w:rsidRDefault="006317AD" w:rsidP="006317AD">
      <w:pPr>
        <w:spacing w:line="240" w:lineRule="auto"/>
        <w:rPr>
          <w:rFonts w:ascii="Times New Roman" w:eastAsia="Times New Roman" w:hAnsi="Times New Roman" w:cs="Times New Roman"/>
          <w:b/>
          <w:highlight w:val="white"/>
        </w:rPr>
      </w:pPr>
    </w:p>
    <w:p w14:paraId="71889595" w14:textId="77777777" w:rsidR="006317AD" w:rsidRDefault="006317AD" w:rsidP="006317AD">
      <w:pPr>
        <w:widowControl w:val="0"/>
        <w:spacing w:line="240" w:lineRule="auto"/>
        <w:ind w:right="468"/>
        <w:rPr>
          <w:rFonts w:ascii="Times New Roman" w:eastAsia="Times New Roman" w:hAnsi="Times New Roman" w:cs="Times New Roman"/>
          <w:b/>
        </w:rPr>
      </w:pPr>
    </w:p>
    <w:p w14:paraId="1FDF75A2" w14:textId="77777777" w:rsidR="006317AD" w:rsidRDefault="006317AD" w:rsidP="006317AD">
      <w:pPr>
        <w:widowControl w:val="0"/>
        <w:spacing w:line="240" w:lineRule="auto"/>
        <w:ind w:right="468"/>
        <w:rPr>
          <w:rFonts w:ascii="Times New Roman" w:eastAsia="Times New Roman" w:hAnsi="Times New Roman" w:cs="Times New Roman"/>
          <w:b/>
        </w:rPr>
      </w:pPr>
    </w:p>
    <w:p w14:paraId="5AB08F1B" w14:textId="77777777" w:rsidR="006317AD" w:rsidRDefault="006317AD" w:rsidP="006317AD">
      <w:pPr>
        <w:widowControl w:val="0"/>
        <w:spacing w:line="240" w:lineRule="auto"/>
        <w:ind w:right="468"/>
        <w:rPr>
          <w:rFonts w:ascii="Times New Roman" w:eastAsia="Times New Roman" w:hAnsi="Times New Roman" w:cs="Times New Roman"/>
          <w:b/>
        </w:rPr>
      </w:pPr>
    </w:p>
    <w:p w14:paraId="426EF50C" w14:textId="77777777" w:rsidR="006317AD" w:rsidRDefault="006317AD" w:rsidP="006317AD">
      <w:pPr>
        <w:widowControl w:val="0"/>
        <w:spacing w:line="240" w:lineRule="auto"/>
        <w:ind w:right="468"/>
        <w:rPr>
          <w:rFonts w:ascii="Times New Roman" w:eastAsia="Times New Roman" w:hAnsi="Times New Roman" w:cs="Times New Roman"/>
          <w:b/>
        </w:rPr>
      </w:pPr>
    </w:p>
    <w:p w14:paraId="35BB98F7" w14:textId="77777777" w:rsidR="006317AD" w:rsidRDefault="006317AD" w:rsidP="006317AD">
      <w:pPr>
        <w:spacing w:line="240" w:lineRule="auto"/>
        <w:rPr>
          <w:rFonts w:ascii="Times New Roman" w:eastAsia="Times New Roman" w:hAnsi="Times New Roman" w:cs="Times New Roman"/>
        </w:rPr>
      </w:pPr>
    </w:p>
    <w:p w14:paraId="3AD136F5" w14:textId="77777777" w:rsidR="006317AD" w:rsidRDefault="006317AD"/>
    <w:sectPr w:rsidR="006317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47E9"/>
    <w:multiLevelType w:val="multilevel"/>
    <w:tmpl w:val="F4005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62071"/>
    <w:multiLevelType w:val="multilevel"/>
    <w:tmpl w:val="A98E5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9F3A45"/>
    <w:multiLevelType w:val="multilevel"/>
    <w:tmpl w:val="4DBEC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C655C4"/>
    <w:multiLevelType w:val="multilevel"/>
    <w:tmpl w:val="F77A9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7E2CFF"/>
    <w:multiLevelType w:val="multilevel"/>
    <w:tmpl w:val="01E4F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43710"/>
    <w:multiLevelType w:val="multilevel"/>
    <w:tmpl w:val="258E3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A7BDB"/>
    <w:multiLevelType w:val="multilevel"/>
    <w:tmpl w:val="B2DE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4942E0"/>
    <w:multiLevelType w:val="multilevel"/>
    <w:tmpl w:val="BA386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5341D1"/>
    <w:multiLevelType w:val="multilevel"/>
    <w:tmpl w:val="5D167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D34527"/>
    <w:multiLevelType w:val="multilevel"/>
    <w:tmpl w:val="61765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2B0BCC"/>
    <w:multiLevelType w:val="hybridMultilevel"/>
    <w:tmpl w:val="65C0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42F49"/>
    <w:multiLevelType w:val="multilevel"/>
    <w:tmpl w:val="A132A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221460"/>
    <w:multiLevelType w:val="multilevel"/>
    <w:tmpl w:val="AC6A1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BB6E45"/>
    <w:multiLevelType w:val="hybridMultilevel"/>
    <w:tmpl w:val="4C306326"/>
    <w:lvl w:ilvl="0" w:tplc="3C9691AC">
      <w:start w:val="1"/>
      <w:numFmt w:val="bullet"/>
      <w:lvlText w:val="-"/>
      <w:lvlJc w:val="left"/>
      <w:pPr>
        <w:ind w:left="720" w:hanging="360"/>
      </w:pPr>
      <w:rPr>
        <w:rFonts w:ascii="Calibri" w:hAnsi="Calibri" w:hint="default"/>
      </w:rPr>
    </w:lvl>
    <w:lvl w:ilvl="1" w:tplc="EB141344">
      <w:start w:val="1"/>
      <w:numFmt w:val="bullet"/>
      <w:lvlText w:val="o"/>
      <w:lvlJc w:val="left"/>
      <w:pPr>
        <w:ind w:left="1440" w:hanging="360"/>
      </w:pPr>
      <w:rPr>
        <w:rFonts w:ascii="Courier New" w:hAnsi="Courier New" w:hint="default"/>
      </w:rPr>
    </w:lvl>
    <w:lvl w:ilvl="2" w:tplc="7CF0962E">
      <w:start w:val="1"/>
      <w:numFmt w:val="bullet"/>
      <w:lvlText w:val=""/>
      <w:lvlJc w:val="left"/>
      <w:pPr>
        <w:ind w:left="2160" w:hanging="360"/>
      </w:pPr>
      <w:rPr>
        <w:rFonts w:ascii="Wingdings" w:hAnsi="Wingdings" w:hint="default"/>
      </w:rPr>
    </w:lvl>
    <w:lvl w:ilvl="3" w:tplc="ECB0D990">
      <w:start w:val="1"/>
      <w:numFmt w:val="bullet"/>
      <w:lvlText w:val=""/>
      <w:lvlJc w:val="left"/>
      <w:pPr>
        <w:ind w:left="2880" w:hanging="360"/>
      </w:pPr>
      <w:rPr>
        <w:rFonts w:ascii="Symbol" w:hAnsi="Symbol" w:hint="default"/>
      </w:rPr>
    </w:lvl>
    <w:lvl w:ilvl="4" w:tplc="14AA414C">
      <w:start w:val="1"/>
      <w:numFmt w:val="bullet"/>
      <w:lvlText w:val="o"/>
      <w:lvlJc w:val="left"/>
      <w:pPr>
        <w:ind w:left="3600" w:hanging="360"/>
      </w:pPr>
      <w:rPr>
        <w:rFonts w:ascii="Courier New" w:hAnsi="Courier New" w:hint="default"/>
      </w:rPr>
    </w:lvl>
    <w:lvl w:ilvl="5" w:tplc="8DA8EFDA">
      <w:start w:val="1"/>
      <w:numFmt w:val="bullet"/>
      <w:lvlText w:val=""/>
      <w:lvlJc w:val="left"/>
      <w:pPr>
        <w:ind w:left="4320" w:hanging="360"/>
      </w:pPr>
      <w:rPr>
        <w:rFonts w:ascii="Wingdings" w:hAnsi="Wingdings" w:hint="default"/>
      </w:rPr>
    </w:lvl>
    <w:lvl w:ilvl="6" w:tplc="1464BE2E">
      <w:start w:val="1"/>
      <w:numFmt w:val="bullet"/>
      <w:lvlText w:val=""/>
      <w:lvlJc w:val="left"/>
      <w:pPr>
        <w:ind w:left="5040" w:hanging="360"/>
      </w:pPr>
      <w:rPr>
        <w:rFonts w:ascii="Symbol" w:hAnsi="Symbol" w:hint="default"/>
      </w:rPr>
    </w:lvl>
    <w:lvl w:ilvl="7" w:tplc="779ADAEC">
      <w:start w:val="1"/>
      <w:numFmt w:val="bullet"/>
      <w:lvlText w:val="o"/>
      <w:lvlJc w:val="left"/>
      <w:pPr>
        <w:ind w:left="5760" w:hanging="360"/>
      </w:pPr>
      <w:rPr>
        <w:rFonts w:ascii="Courier New" w:hAnsi="Courier New" w:hint="default"/>
      </w:rPr>
    </w:lvl>
    <w:lvl w:ilvl="8" w:tplc="23BC6E8C">
      <w:start w:val="1"/>
      <w:numFmt w:val="bullet"/>
      <w:lvlText w:val=""/>
      <w:lvlJc w:val="left"/>
      <w:pPr>
        <w:ind w:left="6480" w:hanging="360"/>
      </w:pPr>
      <w:rPr>
        <w:rFonts w:ascii="Wingdings" w:hAnsi="Wingdings" w:hint="default"/>
      </w:rPr>
    </w:lvl>
  </w:abstractNum>
  <w:abstractNum w:abstractNumId="14" w15:restartNumberingAfterBreak="0">
    <w:nsid w:val="6D604D19"/>
    <w:multiLevelType w:val="hybridMultilevel"/>
    <w:tmpl w:val="FA92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5560F1"/>
    <w:multiLevelType w:val="hybridMultilevel"/>
    <w:tmpl w:val="28DC0AC6"/>
    <w:lvl w:ilvl="0" w:tplc="C53E4EE4">
      <w:start w:val="1"/>
      <w:numFmt w:val="bullet"/>
      <w:lvlText w:val="-"/>
      <w:lvlJc w:val="left"/>
      <w:pPr>
        <w:ind w:left="720" w:hanging="360"/>
      </w:pPr>
      <w:rPr>
        <w:rFonts w:ascii="Calibri" w:hAnsi="Calibri" w:hint="default"/>
      </w:rPr>
    </w:lvl>
    <w:lvl w:ilvl="1" w:tplc="150A6930">
      <w:start w:val="1"/>
      <w:numFmt w:val="bullet"/>
      <w:lvlText w:val="o"/>
      <w:lvlJc w:val="left"/>
      <w:pPr>
        <w:ind w:left="1440" w:hanging="360"/>
      </w:pPr>
      <w:rPr>
        <w:rFonts w:ascii="Courier New" w:hAnsi="Courier New" w:hint="default"/>
      </w:rPr>
    </w:lvl>
    <w:lvl w:ilvl="2" w:tplc="B19ACEE6">
      <w:start w:val="1"/>
      <w:numFmt w:val="bullet"/>
      <w:lvlText w:val=""/>
      <w:lvlJc w:val="left"/>
      <w:pPr>
        <w:ind w:left="2160" w:hanging="360"/>
      </w:pPr>
      <w:rPr>
        <w:rFonts w:ascii="Wingdings" w:hAnsi="Wingdings" w:hint="default"/>
      </w:rPr>
    </w:lvl>
    <w:lvl w:ilvl="3" w:tplc="FF224D1A">
      <w:start w:val="1"/>
      <w:numFmt w:val="bullet"/>
      <w:lvlText w:val=""/>
      <w:lvlJc w:val="left"/>
      <w:pPr>
        <w:ind w:left="2880" w:hanging="360"/>
      </w:pPr>
      <w:rPr>
        <w:rFonts w:ascii="Symbol" w:hAnsi="Symbol" w:hint="default"/>
      </w:rPr>
    </w:lvl>
    <w:lvl w:ilvl="4" w:tplc="2D1CF3DC">
      <w:start w:val="1"/>
      <w:numFmt w:val="bullet"/>
      <w:lvlText w:val="o"/>
      <w:lvlJc w:val="left"/>
      <w:pPr>
        <w:ind w:left="3600" w:hanging="360"/>
      </w:pPr>
      <w:rPr>
        <w:rFonts w:ascii="Courier New" w:hAnsi="Courier New" w:hint="default"/>
      </w:rPr>
    </w:lvl>
    <w:lvl w:ilvl="5" w:tplc="F718E91A">
      <w:start w:val="1"/>
      <w:numFmt w:val="bullet"/>
      <w:lvlText w:val=""/>
      <w:lvlJc w:val="left"/>
      <w:pPr>
        <w:ind w:left="4320" w:hanging="360"/>
      </w:pPr>
      <w:rPr>
        <w:rFonts w:ascii="Wingdings" w:hAnsi="Wingdings" w:hint="default"/>
      </w:rPr>
    </w:lvl>
    <w:lvl w:ilvl="6" w:tplc="504867C6">
      <w:start w:val="1"/>
      <w:numFmt w:val="bullet"/>
      <w:lvlText w:val=""/>
      <w:lvlJc w:val="left"/>
      <w:pPr>
        <w:ind w:left="5040" w:hanging="360"/>
      </w:pPr>
      <w:rPr>
        <w:rFonts w:ascii="Symbol" w:hAnsi="Symbol" w:hint="default"/>
      </w:rPr>
    </w:lvl>
    <w:lvl w:ilvl="7" w:tplc="AF6C35B4">
      <w:start w:val="1"/>
      <w:numFmt w:val="bullet"/>
      <w:lvlText w:val="o"/>
      <w:lvlJc w:val="left"/>
      <w:pPr>
        <w:ind w:left="5760" w:hanging="360"/>
      </w:pPr>
      <w:rPr>
        <w:rFonts w:ascii="Courier New" w:hAnsi="Courier New" w:hint="default"/>
      </w:rPr>
    </w:lvl>
    <w:lvl w:ilvl="8" w:tplc="A410A3B6">
      <w:start w:val="1"/>
      <w:numFmt w:val="bullet"/>
      <w:lvlText w:val=""/>
      <w:lvlJc w:val="left"/>
      <w:pPr>
        <w:ind w:left="6480" w:hanging="360"/>
      </w:pPr>
      <w:rPr>
        <w:rFonts w:ascii="Wingdings" w:hAnsi="Wingdings" w:hint="default"/>
      </w:rPr>
    </w:lvl>
  </w:abstractNum>
  <w:abstractNum w:abstractNumId="16" w15:restartNumberingAfterBreak="0">
    <w:nsid w:val="7E1255EE"/>
    <w:multiLevelType w:val="hybridMultilevel"/>
    <w:tmpl w:val="912A9E48"/>
    <w:lvl w:ilvl="0" w:tplc="D77A0932">
      <w:start w:val="1"/>
      <w:numFmt w:val="bullet"/>
      <w:lvlText w:val="-"/>
      <w:lvlJc w:val="left"/>
      <w:pPr>
        <w:ind w:left="720" w:hanging="360"/>
      </w:pPr>
      <w:rPr>
        <w:rFonts w:ascii="Calibri" w:hAnsi="Calibri" w:hint="default"/>
      </w:rPr>
    </w:lvl>
    <w:lvl w:ilvl="1" w:tplc="273ED30A">
      <w:start w:val="1"/>
      <w:numFmt w:val="bullet"/>
      <w:lvlText w:val="o"/>
      <w:lvlJc w:val="left"/>
      <w:pPr>
        <w:ind w:left="1440" w:hanging="360"/>
      </w:pPr>
      <w:rPr>
        <w:rFonts w:ascii="Courier New" w:hAnsi="Courier New" w:hint="default"/>
      </w:rPr>
    </w:lvl>
    <w:lvl w:ilvl="2" w:tplc="CF5213D8">
      <w:start w:val="1"/>
      <w:numFmt w:val="bullet"/>
      <w:lvlText w:val=""/>
      <w:lvlJc w:val="left"/>
      <w:pPr>
        <w:ind w:left="2160" w:hanging="360"/>
      </w:pPr>
      <w:rPr>
        <w:rFonts w:ascii="Wingdings" w:hAnsi="Wingdings" w:hint="default"/>
      </w:rPr>
    </w:lvl>
    <w:lvl w:ilvl="3" w:tplc="8F66CD6E">
      <w:start w:val="1"/>
      <w:numFmt w:val="bullet"/>
      <w:lvlText w:val=""/>
      <w:lvlJc w:val="left"/>
      <w:pPr>
        <w:ind w:left="2880" w:hanging="360"/>
      </w:pPr>
      <w:rPr>
        <w:rFonts w:ascii="Symbol" w:hAnsi="Symbol" w:hint="default"/>
      </w:rPr>
    </w:lvl>
    <w:lvl w:ilvl="4" w:tplc="B00A0144">
      <w:start w:val="1"/>
      <w:numFmt w:val="bullet"/>
      <w:lvlText w:val="o"/>
      <w:lvlJc w:val="left"/>
      <w:pPr>
        <w:ind w:left="3600" w:hanging="360"/>
      </w:pPr>
      <w:rPr>
        <w:rFonts w:ascii="Courier New" w:hAnsi="Courier New" w:hint="default"/>
      </w:rPr>
    </w:lvl>
    <w:lvl w:ilvl="5" w:tplc="07E40E12">
      <w:start w:val="1"/>
      <w:numFmt w:val="bullet"/>
      <w:lvlText w:val=""/>
      <w:lvlJc w:val="left"/>
      <w:pPr>
        <w:ind w:left="4320" w:hanging="360"/>
      </w:pPr>
      <w:rPr>
        <w:rFonts w:ascii="Wingdings" w:hAnsi="Wingdings" w:hint="default"/>
      </w:rPr>
    </w:lvl>
    <w:lvl w:ilvl="6" w:tplc="4EDA8DE4">
      <w:start w:val="1"/>
      <w:numFmt w:val="bullet"/>
      <w:lvlText w:val=""/>
      <w:lvlJc w:val="left"/>
      <w:pPr>
        <w:ind w:left="5040" w:hanging="360"/>
      </w:pPr>
      <w:rPr>
        <w:rFonts w:ascii="Symbol" w:hAnsi="Symbol" w:hint="default"/>
      </w:rPr>
    </w:lvl>
    <w:lvl w:ilvl="7" w:tplc="F4B685F2">
      <w:start w:val="1"/>
      <w:numFmt w:val="bullet"/>
      <w:lvlText w:val="o"/>
      <w:lvlJc w:val="left"/>
      <w:pPr>
        <w:ind w:left="5760" w:hanging="360"/>
      </w:pPr>
      <w:rPr>
        <w:rFonts w:ascii="Courier New" w:hAnsi="Courier New" w:hint="default"/>
      </w:rPr>
    </w:lvl>
    <w:lvl w:ilvl="8" w:tplc="0A0A7546">
      <w:start w:val="1"/>
      <w:numFmt w:val="bullet"/>
      <w:lvlText w:val=""/>
      <w:lvlJc w:val="left"/>
      <w:pPr>
        <w:ind w:left="6480" w:hanging="360"/>
      </w:pPr>
      <w:rPr>
        <w:rFonts w:ascii="Wingdings" w:hAnsi="Wingdings" w:hint="default"/>
      </w:rPr>
    </w:lvl>
  </w:abstractNum>
  <w:num w:numId="1" w16cid:durableId="966468956">
    <w:abstractNumId w:val="8"/>
  </w:num>
  <w:num w:numId="2" w16cid:durableId="1410228185">
    <w:abstractNumId w:val="14"/>
  </w:num>
  <w:num w:numId="3" w16cid:durableId="839463609">
    <w:abstractNumId w:val="15"/>
  </w:num>
  <w:num w:numId="4" w16cid:durableId="710693330">
    <w:abstractNumId w:val="16"/>
  </w:num>
  <w:num w:numId="5" w16cid:durableId="440347661">
    <w:abstractNumId w:val="13"/>
  </w:num>
  <w:num w:numId="6" w16cid:durableId="1062170689">
    <w:abstractNumId w:val="3"/>
  </w:num>
  <w:num w:numId="7" w16cid:durableId="1063410291">
    <w:abstractNumId w:val="1"/>
  </w:num>
  <w:num w:numId="8" w16cid:durableId="939608668">
    <w:abstractNumId w:val="2"/>
  </w:num>
  <w:num w:numId="9" w16cid:durableId="450706929">
    <w:abstractNumId w:val="12"/>
  </w:num>
  <w:num w:numId="10" w16cid:durableId="374276363">
    <w:abstractNumId w:val="4"/>
  </w:num>
  <w:num w:numId="11" w16cid:durableId="652105795">
    <w:abstractNumId w:val="7"/>
  </w:num>
  <w:num w:numId="12" w16cid:durableId="1394279519">
    <w:abstractNumId w:val="10"/>
  </w:num>
  <w:num w:numId="13" w16cid:durableId="1307201515">
    <w:abstractNumId w:val="9"/>
  </w:num>
  <w:num w:numId="14" w16cid:durableId="499852229">
    <w:abstractNumId w:val="5"/>
  </w:num>
  <w:num w:numId="15" w16cid:durableId="2100248668">
    <w:abstractNumId w:val="6"/>
  </w:num>
  <w:num w:numId="16" w16cid:durableId="1255869107">
    <w:abstractNumId w:val="11"/>
  </w:num>
  <w:num w:numId="17" w16cid:durableId="1057973894">
    <w:abstractNumId w:val="11"/>
    <w:lvlOverride w:ilvl="0"/>
  </w:num>
  <w:num w:numId="18" w16cid:durableId="1760566284">
    <w:abstractNumId w:val="11"/>
    <w:lvlOverride w:ilvl="0"/>
  </w:num>
  <w:num w:numId="19" w16cid:durableId="1613509406">
    <w:abstractNumId w:val="0"/>
  </w:num>
  <w:num w:numId="20" w16cid:durableId="116802080">
    <w:abstractNumId w:val="0"/>
    <w:lvlOverride w:ilvl="0"/>
  </w:num>
  <w:num w:numId="21" w16cid:durableId="86846873">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CCB"/>
    <w:rsid w:val="006317AD"/>
    <w:rsid w:val="00774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7E86EB"/>
  <w15:docId w15:val="{B5C47348-3B85-954C-943D-966CDBDF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317AD"/>
    <w:pPr>
      <w:spacing w:line="240" w:lineRule="auto"/>
      <w:ind w:left="720"/>
      <w:contextualSpacing/>
    </w:pPr>
    <w:rPr>
      <w:rFonts w:asciiTheme="minorHAnsi" w:eastAsiaTheme="minorHAnsi" w:hAnsiTheme="minorHAnsi" w:cstheme="minorBidi"/>
      <w:sz w:val="24"/>
      <w:szCs w:val="24"/>
      <w:lang w:val="en-US"/>
    </w:rPr>
  </w:style>
  <w:style w:type="paragraph" w:styleId="NormalWeb">
    <w:name w:val="Normal (Web)"/>
    <w:basedOn w:val="Normal"/>
    <w:uiPriority w:val="99"/>
    <w:unhideWhenUsed/>
    <w:rsid w:val="006317A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31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1638/2022-0049" TargetMode="External"/><Relationship Id="rId4" Type="http://schemas.openxmlformats.org/officeDocument/2006/relationships/webSettings" Target="webSettings.xml"/><Relationship Id="rId9" Type="http://schemas.openxmlformats.org/officeDocument/2006/relationships/hyperlink" Target="https://doi.org/10.1638/2020-00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4883</Words>
  <Characters>27834</Characters>
  <Application>Microsoft Office Word</Application>
  <DocSecurity>0</DocSecurity>
  <Lines>231</Lines>
  <Paragraphs>65</Paragraphs>
  <ScaleCrop>false</ScaleCrop>
  <Company/>
  <LinksUpToDate>false</LinksUpToDate>
  <CharactersWithSpaces>32652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2024-02-08T21:55:00Z</dcterms:created>
  <dcterms:modified xsi:type="dcterms:W3CDTF">2024-02-08T21:55:00Z</dcterms:modified>
</cp:coreProperties>
</file>