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9532C" w14:textId="22F2E00B" w:rsidR="00A879E3" w:rsidRPr="006C2795" w:rsidRDefault="00A879E3" w:rsidP="00A879E3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6C2795">
        <w:rPr>
          <w:rFonts w:cstheme="minorHAnsi"/>
          <w:b/>
          <w:sz w:val="24"/>
          <w:szCs w:val="24"/>
        </w:rPr>
        <w:t>Reading assignments for CBS 817 – Aquatic Preventive Medicine</w:t>
      </w:r>
      <w:r w:rsidR="00CF0263" w:rsidRPr="006C2795">
        <w:rPr>
          <w:rFonts w:cstheme="minorHAnsi"/>
          <w:b/>
          <w:sz w:val="24"/>
          <w:szCs w:val="24"/>
        </w:rPr>
        <w:t xml:space="preserve"> and Chemotherapeutics</w:t>
      </w:r>
    </w:p>
    <w:p w14:paraId="5942AC9D" w14:textId="29F43F48" w:rsidR="004C2841" w:rsidRPr="006C2795" w:rsidRDefault="004C2841" w:rsidP="004C2841">
      <w:pPr>
        <w:pStyle w:val="ListParagraph"/>
        <w:rPr>
          <w:rFonts w:cstheme="minorHAnsi"/>
          <w:b/>
          <w:bCs/>
          <w:sz w:val="24"/>
          <w:szCs w:val="24"/>
        </w:rPr>
      </w:pPr>
      <w:proofErr w:type="spellStart"/>
      <w:r w:rsidRPr="006C2795">
        <w:rPr>
          <w:rFonts w:cstheme="minorHAnsi"/>
          <w:b/>
          <w:bCs/>
          <w:sz w:val="24"/>
          <w:szCs w:val="24"/>
        </w:rPr>
        <w:t>Dannemiller</w:t>
      </w:r>
      <w:proofErr w:type="spellEnd"/>
    </w:p>
    <w:p w14:paraId="1A2AE13B" w14:textId="07F268F8" w:rsidR="00DD29DC" w:rsidRPr="006C2795" w:rsidRDefault="006B5621" w:rsidP="004B4F5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C2795">
        <w:rPr>
          <w:rFonts w:cstheme="minorHAnsi"/>
          <w:sz w:val="24"/>
          <w:szCs w:val="24"/>
        </w:rPr>
        <w:t>Fowler 7, Chapter 26: Quarantine of Fish and Aquatic Invertebrates in Public Display Aquaria</w:t>
      </w:r>
      <w:r w:rsidR="007613E9" w:rsidRPr="006C2795">
        <w:rPr>
          <w:rFonts w:cstheme="minorHAnsi"/>
          <w:sz w:val="24"/>
          <w:szCs w:val="24"/>
        </w:rPr>
        <w:t xml:space="preserve"> (pp 202-209)</w:t>
      </w:r>
    </w:p>
    <w:p w14:paraId="7A0F51CC" w14:textId="611AB990" w:rsidR="00D608FE" w:rsidRPr="006C2795" w:rsidRDefault="00D608FE" w:rsidP="004B4F5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C2795">
        <w:rPr>
          <w:rFonts w:cstheme="minorHAnsi"/>
          <w:sz w:val="24"/>
          <w:szCs w:val="24"/>
        </w:rPr>
        <w:t>Elasmobranch Husbandry Manual II, Chapter 12: Elasmobranch Quarantine (pp 113-133)</w:t>
      </w:r>
    </w:p>
    <w:p w14:paraId="343BF03F" w14:textId="77777777" w:rsidR="004C2841" w:rsidRPr="006C2795" w:rsidRDefault="004C2841" w:rsidP="00D608FE">
      <w:pPr>
        <w:pStyle w:val="ListParagraph"/>
        <w:rPr>
          <w:rFonts w:cstheme="minorHAnsi"/>
          <w:sz w:val="24"/>
          <w:szCs w:val="24"/>
        </w:rPr>
      </w:pPr>
    </w:p>
    <w:p w14:paraId="1DC08951" w14:textId="0DA7ED9D" w:rsidR="004B56C8" w:rsidRPr="006C2795" w:rsidRDefault="004C2841" w:rsidP="00D608FE">
      <w:pPr>
        <w:pStyle w:val="ListParagraph"/>
        <w:rPr>
          <w:rFonts w:cstheme="minorHAnsi"/>
          <w:b/>
          <w:bCs/>
          <w:sz w:val="24"/>
          <w:szCs w:val="24"/>
        </w:rPr>
      </w:pPr>
      <w:r w:rsidRPr="006C2795">
        <w:rPr>
          <w:rFonts w:cstheme="minorHAnsi"/>
          <w:b/>
          <w:bCs/>
          <w:sz w:val="24"/>
          <w:szCs w:val="24"/>
        </w:rPr>
        <w:t>Knutson</w:t>
      </w:r>
    </w:p>
    <w:p w14:paraId="0410A189" w14:textId="535558F6" w:rsidR="00D608FE" w:rsidRPr="006C2795" w:rsidRDefault="00D608FE" w:rsidP="004B4F5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6C2795">
        <w:rPr>
          <w:rFonts w:cstheme="minorHAnsi"/>
          <w:sz w:val="24"/>
          <w:szCs w:val="24"/>
        </w:rPr>
        <w:t>Noga</w:t>
      </w:r>
      <w:proofErr w:type="spellEnd"/>
      <w:r w:rsidRPr="006C2795">
        <w:rPr>
          <w:rFonts w:cstheme="minorHAnsi"/>
          <w:sz w:val="24"/>
          <w:szCs w:val="24"/>
        </w:rPr>
        <w:t xml:space="preserve"> Fish Disease, Chapter 6: Health Management (pp 69-79)</w:t>
      </w:r>
    </w:p>
    <w:p w14:paraId="053E8974" w14:textId="5CF24EB7" w:rsidR="00DF1D47" w:rsidRPr="006C2795" w:rsidRDefault="00DF1D47" w:rsidP="004B4F5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C2795">
        <w:rPr>
          <w:rFonts w:cstheme="minorHAnsi"/>
          <w:i/>
          <w:sz w:val="24"/>
          <w:szCs w:val="24"/>
        </w:rPr>
        <w:t>Supplemental</w:t>
      </w:r>
      <w:r w:rsidR="00E13D90" w:rsidRPr="006C2795">
        <w:rPr>
          <w:rFonts w:cstheme="minorHAnsi"/>
          <w:i/>
          <w:sz w:val="24"/>
          <w:szCs w:val="24"/>
        </w:rPr>
        <w:t>/optional</w:t>
      </w:r>
      <w:r w:rsidRPr="006C2795">
        <w:rPr>
          <w:rFonts w:cstheme="minorHAnsi"/>
          <w:i/>
          <w:sz w:val="24"/>
          <w:szCs w:val="24"/>
        </w:rPr>
        <w:t>:</w:t>
      </w:r>
      <w:r w:rsidRPr="006C2795">
        <w:rPr>
          <w:rFonts w:cstheme="minorHAnsi"/>
          <w:sz w:val="24"/>
          <w:szCs w:val="24"/>
        </w:rPr>
        <w:t xml:space="preserve"> Collins, Lorenzen, Collet. 2018. DNA vaccination for finfish aquaculture. </w:t>
      </w:r>
      <w:r w:rsidRPr="006C2795">
        <w:rPr>
          <w:rFonts w:cstheme="minorHAnsi"/>
          <w:i/>
          <w:sz w:val="24"/>
          <w:szCs w:val="24"/>
        </w:rPr>
        <w:t>Fish and Shellfish Immunology</w:t>
      </w:r>
      <w:r w:rsidRPr="006C2795">
        <w:rPr>
          <w:rFonts w:cstheme="minorHAnsi"/>
          <w:sz w:val="24"/>
          <w:szCs w:val="24"/>
        </w:rPr>
        <w:t>.</w:t>
      </w:r>
    </w:p>
    <w:p w14:paraId="55FA731A" w14:textId="041E8F48" w:rsidR="00A82CFB" w:rsidRPr="006C2795" w:rsidRDefault="00A82CFB" w:rsidP="00D608FE">
      <w:pPr>
        <w:pStyle w:val="ListParagraph"/>
        <w:rPr>
          <w:rFonts w:cstheme="minorHAnsi"/>
          <w:sz w:val="24"/>
          <w:szCs w:val="24"/>
        </w:rPr>
      </w:pPr>
    </w:p>
    <w:p w14:paraId="236B60AD" w14:textId="79CBDF0A" w:rsidR="00A82CFB" w:rsidRPr="006C2795" w:rsidRDefault="004B56C8" w:rsidP="00D608FE">
      <w:pPr>
        <w:pStyle w:val="ListParagraph"/>
        <w:rPr>
          <w:rFonts w:cstheme="minorHAnsi"/>
          <w:b/>
          <w:bCs/>
          <w:sz w:val="24"/>
          <w:szCs w:val="24"/>
        </w:rPr>
      </w:pPr>
      <w:r w:rsidRPr="006C2795">
        <w:rPr>
          <w:rFonts w:cstheme="minorHAnsi"/>
          <w:b/>
          <w:bCs/>
          <w:sz w:val="24"/>
          <w:szCs w:val="24"/>
        </w:rPr>
        <w:t>Cabot</w:t>
      </w:r>
    </w:p>
    <w:p w14:paraId="7B01C3C4" w14:textId="7E85E132" w:rsidR="007613E9" w:rsidRPr="006C2795" w:rsidRDefault="004D6C1D" w:rsidP="004B4F53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6C2795">
        <w:rPr>
          <w:rFonts w:cstheme="minorHAnsi"/>
          <w:sz w:val="24"/>
          <w:szCs w:val="24"/>
        </w:rPr>
        <w:t>Fowler 8, Chapter 82</w:t>
      </w:r>
      <w:r w:rsidR="007613E9" w:rsidRPr="006C2795">
        <w:rPr>
          <w:rFonts w:cstheme="minorHAnsi"/>
          <w:sz w:val="24"/>
          <w:szCs w:val="24"/>
        </w:rPr>
        <w:t>: AAZV Guidelines for Zoo and Aquarium Veterinary Medical Programs and Veterinary Hospitals (pp 125-128)</w:t>
      </w:r>
    </w:p>
    <w:p w14:paraId="0DC02121" w14:textId="77777777" w:rsidR="00A879E3" w:rsidRPr="006C2795" w:rsidRDefault="00A879E3" w:rsidP="0057618E">
      <w:pPr>
        <w:spacing w:after="0"/>
        <w:ind w:left="720"/>
        <w:rPr>
          <w:rFonts w:cstheme="minorHAnsi"/>
          <w:i/>
          <w:sz w:val="24"/>
          <w:szCs w:val="24"/>
        </w:rPr>
      </w:pPr>
      <w:r w:rsidRPr="006C2795">
        <w:rPr>
          <w:rFonts w:cstheme="minorHAnsi"/>
          <w:i/>
          <w:sz w:val="24"/>
          <w:szCs w:val="24"/>
        </w:rPr>
        <w:t>Exam question</w:t>
      </w:r>
      <w:r w:rsidR="00D608FE" w:rsidRPr="006C2795">
        <w:rPr>
          <w:rFonts w:cstheme="minorHAnsi"/>
          <w:i/>
          <w:sz w:val="24"/>
          <w:szCs w:val="24"/>
        </w:rPr>
        <w:t>s would likely be based off the Fowler</w:t>
      </w:r>
      <w:r w:rsidRPr="006C2795">
        <w:rPr>
          <w:rFonts w:cstheme="minorHAnsi"/>
          <w:i/>
          <w:sz w:val="24"/>
          <w:szCs w:val="24"/>
        </w:rPr>
        <w:t xml:space="preserve"> chapter, but I recommend reading the actual guidelines, they’re slightly more detailed:</w:t>
      </w:r>
    </w:p>
    <w:p w14:paraId="1EC3AA42" w14:textId="5EE4A60D" w:rsidR="007613E9" w:rsidRPr="006C2795" w:rsidRDefault="007613E9" w:rsidP="0057618E">
      <w:pPr>
        <w:pStyle w:val="Default"/>
        <w:ind w:left="720"/>
        <w:rPr>
          <w:rFonts w:asciiTheme="minorHAnsi" w:hAnsiTheme="minorHAnsi" w:cstheme="minorHAnsi"/>
        </w:rPr>
      </w:pPr>
      <w:r w:rsidRPr="006C2795">
        <w:rPr>
          <w:rFonts w:asciiTheme="minorHAnsi" w:hAnsiTheme="minorHAnsi" w:cstheme="minorHAnsi"/>
        </w:rPr>
        <w:t>AAZV Guidelines for Zoo and Aquarium Veterinary Medical Programs and Veterinary Hospitals, 6</w:t>
      </w:r>
      <w:r w:rsidRPr="006C2795">
        <w:rPr>
          <w:rFonts w:asciiTheme="minorHAnsi" w:hAnsiTheme="minorHAnsi" w:cstheme="minorHAnsi"/>
          <w:vertAlign w:val="superscript"/>
        </w:rPr>
        <w:t>th</w:t>
      </w:r>
      <w:r w:rsidRPr="006C2795">
        <w:rPr>
          <w:rFonts w:asciiTheme="minorHAnsi" w:hAnsiTheme="minorHAnsi" w:cstheme="minorHAnsi"/>
        </w:rPr>
        <w:t xml:space="preserve"> Ed.</w:t>
      </w:r>
      <w:r w:rsidR="004B56C8" w:rsidRPr="006C2795">
        <w:rPr>
          <w:rFonts w:asciiTheme="minorHAnsi" w:hAnsiTheme="minorHAnsi" w:cstheme="minorHAnsi"/>
        </w:rPr>
        <w:t xml:space="preserve"> (Available online: https://cdn.ymaws.com/www.aazv.org/resource/resmgr/files/aazvveterinaryguidelines2016.pdf)</w:t>
      </w:r>
    </w:p>
    <w:p w14:paraId="40CE4F3F" w14:textId="15BCC1FE" w:rsidR="00DF1D47" w:rsidRPr="006C2795" w:rsidRDefault="00DF1D47" w:rsidP="0057618E">
      <w:pPr>
        <w:pStyle w:val="Default"/>
        <w:ind w:left="720"/>
        <w:rPr>
          <w:rFonts w:asciiTheme="minorHAnsi" w:hAnsiTheme="minorHAnsi" w:cstheme="minorHAnsi"/>
        </w:rPr>
      </w:pPr>
    </w:p>
    <w:p w14:paraId="056AE6E6" w14:textId="6E3E48FF" w:rsidR="006F4AE6" w:rsidRPr="006C2795" w:rsidRDefault="004C2841" w:rsidP="0057618E">
      <w:pPr>
        <w:pStyle w:val="Default"/>
        <w:ind w:left="720"/>
        <w:rPr>
          <w:rFonts w:asciiTheme="minorHAnsi" w:hAnsiTheme="minorHAnsi" w:cstheme="minorHAnsi"/>
          <w:b/>
          <w:bCs/>
        </w:rPr>
      </w:pPr>
      <w:proofErr w:type="spellStart"/>
      <w:r w:rsidRPr="006C2795">
        <w:rPr>
          <w:rFonts w:asciiTheme="minorHAnsi" w:hAnsiTheme="minorHAnsi" w:cstheme="minorHAnsi"/>
          <w:b/>
          <w:bCs/>
        </w:rPr>
        <w:t>Hepps</w:t>
      </w:r>
      <w:proofErr w:type="spellEnd"/>
      <w:r w:rsidRPr="006C2795">
        <w:rPr>
          <w:rFonts w:asciiTheme="minorHAnsi" w:hAnsiTheme="minorHAnsi" w:cstheme="minorHAnsi"/>
          <w:b/>
          <w:bCs/>
        </w:rPr>
        <w:t>-Keeney</w:t>
      </w:r>
    </w:p>
    <w:p w14:paraId="2F8F9CD7" w14:textId="535DE931" w:rsidR="008552E8" w:rsidRPr="006C2795" w:rsidRDefault="008347A1" w:rsidP="006C2795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6C2795">
        <w:rPr>
          <w:rFonts w:asciiTheme="minorHAnsi" w:hAnsiTheme="minorHAnsi" w:cstheme="minorHAnsi"/>
        </w:rPr>
        <w:t xml:space="preserve">Scott et al. </w:t>
      </w:r>
      <w:r w:rsidR="00645177" w:rsidRPr="006C2795">
        <w:rPr>
          <w:rFonts w:asciiTheme="minorHAnsi" w:hAnsiTheme="minorHAnsi" w:cstheme="minorHAnsi"/>
        </w:rPr>
        <w:t xml:space="preserve">(2020) </w:t>
      </w:r>
      <w:r w:rsidR="00CE0DE8" w:rsidRPr="006C2795">
        <w:rPr>
          <w:rFonts w:asciiTheme="minorHAnsi" w:hAnsiTheme="minorHAnsi" w:cstheme="minorHAnsi"/>
        </w:rPr>
        <w:t>E</w:t>
      </w:r>
      <w:r w:rsidR="00645177" w:rsidRPr="006C2795">
        <w:rPr>
          <w:rFonts w:asciiTheme="minorHAnsi" w:hAnsiTheme="minorHAnsi" w:cstheme="minorHAnsi"/>
        </w:rPr>
        <w:t>valuation of localized inflammatory reactions secondary to intramuscular injections of enrofloxacin in striped bass (</w:t>
      </w:r>
      <w:proofErr w:type="spellStart"/>
      <w:r w:rsidR="00645177" w:rsidRPr="006C2795">
        <w:rPr>
          <w:rFonts w:asciiTheme="minorHAnsi" w:hAnsiTheme="minorHAnsi" w:cstheme="minorHAnsi"/>
          <w:i/>
          <w:iCs/>
        </w:rPr>
        <w:t>Morone</w:t>
      </w:r>
      <w:proofErr w:type="spellEnd"/>
      <w:r w:rsidR="00645177" w:rsidRPr="006C279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645177" w:rsidRPr="006C2795">
        <w:rPr>
          <w:rFonts w:asciiTheme="minorHAnsi" w:hAnsiTheme="minorHAnsi" w:cstheme="minorHAnsi"/>
          <w:i/>
          <w:iCs/>
        </w:rPr>
        <w:t>saxatilis</w:t>
      </w:r>
      <w:proofErr w:type="spellEnd"/>
      <w:r w:rsidR="00645177" w:rsidRPr="006C2795">
        <w:rPr>
          <w:rFonts w:asciiTheme="minorHAnsi" w:hAnsiTheme="minorHAnsi" w:cstheme="minorHAnsi"/>
        </w:rPr>
        <w:t xml:space="preserve">). </w:t>
      </w:r>
      <w:r w:rsidRPr="006C2795">
        <w:rPr>
          <w:rFonts w:asciiTheme="minorHAnsi" w:hAnsiTheme="minorHAnsi" w:cstheme="minorHAnsi"/>
        </w:rPr>
        <w:t>Journal of Zoo and Wildlife Medicine 51(1): 46–52</w:t>
      </w:r>
      <w:r w:rsidR="00E95078" w:rsidRPr="006C2795">
        <w:rPr>
          <w:rFonts w:asciiTheme="minorHAnsi" w:hAnsiTheme="minorHAnsi" w:cstheme="minorHAnsi"/>
        </w:rPr>
        <w:t>.</w:t>
      </w:r>
    </w:p>
    <w:p w14:paraId="14363E52" w14:textId="04B84776" w:rsidR="00A00F64" w:rsidRPr="006C2795" w:rsidRDefault="00E95078" w:rsidP="006C2795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6C2795">
        <w:rPr>
          <w:rFonts w:asciiTheme="minorHAnsi" w:hAnsiTheme="minorHAnsi" w:cstheme="minorHAnsi"/>
        </w:rPr>
        <w:t>Ang et al. (2021) Use of topical treatments and effects of water temperature on wound healing in common carp (</w:t>
      </w:r>
      <w:proofErr w:type="spellStart"/>
      <w:r w:rsidRPr="006C2795">
        <w:rPr>
          <w:rFonts w:asciiTheme="minorHAnsi" w:hAnsiTheme="minorHAnsi" w:cstheme="minorHAnsi"/>
          <w:i/>
          <w:iCs/>
        </w:rPr>
        <w:t>Cyprinus</w:t>
      </w:r>
      <w:proofErr w:type="spellEnd"/>
      <w:r w:rsidRPr="006C279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6C2795">
        <w:rPr>
          <w:rFonts w:asciiTheme="minorHAnsi" w:hAnsiTheme="minorHAnsi" w:cstheme="minorHAnsi"/>
          <w:i/>
          <w:iCs/>
        </w:rPr>
        <w:t>carpio</w:t>
      </w:r>
      <w:proofErr w:type="spellEnd"/>
      <w:r w:rsidRPr="006C2795">
        <w:rPr>
          <w:rFonts w:asciiTheme="minorHAnsi" w:hAnsiTheme="minorHAnsi" w:cstheme="minorHAnsi"/>
        </w:rPr>
        <w:t>). Journal of Zoo and Wildlife Medicine 52(1): 103–116.</w:t>
      </w:r>
    </w:p>
    <w:p w14:paraId="78C5FFAB" w14:textId="77777777" w:rsidR="00C47852" w:rsidRPr="006C2795" w:rsidRDefault="00C47852" w:rsidP="0057618E">
      <w:pPr>
        <w:pStyle w:val="Default"/>
        <w:ind w:left="720"/>
        <w:rPr>
          <w:rFonts w:asciiTheme="minorHAnsi" w:hAnsiTheme="minorHAnsi" w:cstheme="minorHAnsi"/>
        </w:rPr>
      </w:pPr>
    </w:p>
    <w:p w14:paraId="51EEDCC5" w14:textId="6C61EC0E" w:rsidR="004C2841" w:rsidRPr="006C2795" w:rsidRDefault="004C2841" w:rsidP="0057618E">
      <w:pPr>
        <w:pStyle w:val="Default"/>
        <w:ind w:left="720"/>
        <w:rPr>
          <w:rFonts w:asciiTheme="minorHAnsi" w:hAnsiTheme="minorHAnsi" w:cstheme="minorHAnsi"/>
          <w:b/>
          <w:bCs/>
        </w:rPr>
      </w:pPr>
      <w:proofErr w:type="spellStart"/>
      <w:r w:rsidRPr="006C2795">
        <w:rPr>
          <w:rFonts w:asciiTheme="minorHAnsi" w:hAnsiTheme="minorHAnsi" w:cstheme="minorHAnsi"/>
          <w:b/>
          <w:bCs/>
        </w:rPr>
        <w:t>Mones</w:t>
      </w:r>
      <w:proofErr w:type="spellEnd"/>
    </w:p>
    <w:p w14:paraId="6E4C4A12" w14:textId="4FEC7DAE" w:rsidR="00E36677" w:rsidRPr="006C2795" w:rsidRDefault="00E95078" w:rsidP="006C279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C2795">
        <w:rPr>
          <w:rFonts w:cstheme="minorHAnsi"/>
          <w:sz w:val="24"/>
          <w:szCs w:val="24"/>
        </w:rPr>
        <w:t xml:space="preserve">Zec et al. </w:t>
      </w:r>
      <w:r w:rsidR="002F3945" w:rsidRPr="006C2795">
        <w:rPr>
          <w:rFonts w:cstheme="minorHAnsi"/>
          <w:sz w:val="24"/>
          <w:szCs w:val="24"/>
        </w:rPr>
        <w:t xml:space="preserve">(2021) </w:t>
      </w:r>
      <w:r w:rsidRPr="006C2795">
        <w:rPr>
          <w:rFonts w:cstheme="minorHAnsi"/>
          <w:sz w:val="24"/>
          <w:szCs w:val="24"/>
        </w:rPr>
        <w:t xml:space="preserve">Retrospective review of copper sulfate immersion treatment in marine </w:t>
      </w:r>
      <w:proofErr w:type="spellStart"/>
      <w:r w:rsidRPr="006C2795">
        <w:rPr>
          <w:rFonts w:cstheme="minorHAnsi"/>
          <w:sz w:val="24"/>
          <w:szCs w:val="24"/>
        </w:rPr>
        <w:t>teleosts</w:t>
      </w:r>
      <w:proofErr w:type="spellEnd"/>
      <w:r w:rsidRPr="006C2795">
        <w:rPr>
          <w:rFonts w:cstheme="minorHAnsi"/>
          <w:sz w:val="24"/>
          <w:szCs w:val="24"/>
        </w:rPr>
        <w:t xml:space="preserve"> during quarantine at the National Aquarium of Baltimore from 2004 to 2016</w:t>
      </w:r>
      <w:r w:rsidR="002F3945" w:rsidRPr="006C2795">
        <w:rPr>
          <w:rFonts w:cstheme="minorHAnsi"/>
          <w:sz w:val="24"/>
          <w:szCs w:val="24"/>
        </w:rPr>
        <w:t xml:space="preserve">. </w:t>
      </w:r>
      <w:r w:rsidR="00E36677" w:rsidRPr="006C2795">
        <w:rPr>
          <w:rFonts w:cstheme="minorHAnsi"/>
          <w:sz w:val="24"/>
          <w:szCs w:val="24"/>
        </w:rPr>
        <w:t>Journal of Zoo and Wildlife Medicine 52(1): 97–102</w:t>
      </w:r>
      <w:r w:rsidR="002F3945" w:rsidRPr="006C2795">
        <w:rPr>
          <w:rFonts w:cstheme="minorHAnsi"/>
          <w:sz w:val="24"/>
          <w:szCs w:val="24"/>
        </w:rPr>
        <w:t>.</w:t>
      </w:r>
    </w:p>
    <w:p w14:paraId="16D147C0" w14:textId="54705D04" w:rsidR="0013103D" w:rsidRPr="006C2795" w:rsidRDefault="002F3945" w:rsidP="00E9412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6C2795">
        <w:rPr>
          <w:rFonts w:cstheme="minorHAnsi"/>
          <w:sz w:val="24"/>
          <w:szCs w:val="24"/>
        </w:rPr>
        <w:t>Jalenques</w:t>
      </w:r>
      <w:proofErr w:type="spellEnd"/>
      <w:r w:rsidRPr="006C2795">
        <w:rPr>
          <w:rFonts w:cstheme="minorHAnsi"/>
          <w:sz w:val="24"/>
          <w:szCs w:val="24"/>
        </w:rPr>
        <w:t xml:space="preserve"> et al</w:t>
      </w:r>
      <w:r w:rsidR="006C2795" w:rsidRPr="006C2795">
        <w:rPr>
          <w:rFonts w:cstheme="minorHAnsi"/>
          <w:sz w:val="24"/>
          <w:szCs w:val="24"/>
        </w:rPr>
        <w:t xml:space="preserve">. (2020) A cluster of cases of thyroid hyperplasia in aquarium-housed tropical marine </w:t>
      </w:r>
      <w:proofErr w:type="spellStart"/>
      <w:r w:rsidR="006C2795" w:rsidRPr="006C2795">
        <w:rPr>
          <w:rFonts w:cstheme="minorHAnsi"/>
          <w:sz w:val="24"/>
          <w:szCs w:val="24"/>
        </w:rPr>
        <w:t>teleosts</w:t>
      </w:r>
      <w:proofErr w:type="spellEnd"/>
      <w:r w:rsidR="006C2795" w:rsidRPr="006C2795">
        <w:rPr>
          <w:rFonts w:cstheme="minorHAnsi"/>
          <w:sz w:val="24"/>
          <w:szCs w:val="24"/>
        </w:rPr>
        <w:t xml:space="preserve"> following a change of salt mix brand. </w:t>
      </w:r>
      <w:r w:rsidRPr="006C2795">
        <w:rPr>
          <w:rFonts w:cstheme="minorHAnsi"/>
          <w:sz w:val="24"/>
          <w:szCs w:val="24"/>
        </w:rPr>
        <w:t>Journal of Zoo and Wildlife Medicine 51(3): 725–728</w:t>
      </w:r>
      <w:r w:rsidR="006C2795" w:rsidRPr="006C2795">
        <w:rPr>
          <w:rFonts w:cstheme="minorHAnsi"/>
          <w:sz w:val="24"/>
          <w:szCs w:val="24"/>
        </w:rPr>
        <w:t>.</w:t>
      </w:r>
    </w:p>
    <w:p w14:paraId="4729FC00" w14:textId="77777777" w:rsidR="00006C71" w:rsidRPr="006C2795" w:rsidRDefault="00006C71" w:rsidP="0057618E">
      <w:pPr>
        <w:pStyle w:val="Default"/>
        <w:ind w:left="720"/>
        <w:rPr>
          <w:rFonts w:asciiTheme="minorHAnsi" w:hAnsiTheme="minorHAnsi" w:cstheme="minorHAnsi"/>
          <w:b/>
          <w:bCs/>
        </w:rPr>
      </w:pPr>
    </w:p>
    <w:p w14:paraId="369E3461" w14:textId="661A52AC" w:rsidR="00E36677" w:rsidRPr="006C2795" w:rsidRDefault="00E36677" w:rsidP="0057618E">
      <w:pPr>
        <w:pStyle w:val="Default"/>
        <w:ind w:left="720"/>
        <w:rPr>
          <w:rFonts w:asciiTheme="minorHAnsi" w:hAnsiTheme="minorHAnsi" w:cstheme="minorHAnsi"/>
          <w:b/>
          <w:bCs/>
        </w:rPr>
      </w:pPr>
    </w:p>
    <w:p w14:paraId="7DCE097D" w14:textId="213D2D94" w:rsidR="00CE0DE8" w:rsidRPr="00E94125" w:rsidRDefault="00CE0DE8" w:rsidP="00CE0DE8">
      <w:pPr>
        <w:pStyle w:val="Default"/>
        <w:ind w:left="720"/>
        <w:rPr>
          <w:rFonts w:asciiTheme="minorHAnsi" w:hAnsiTheme="minorHAnsi" w:cstheme="minorHAnsi"/>
          <w:b/>
          <w:bCs/>
        </w:rPr>
      </w:pPr>
      <w:r w:rsidRPr="00E94125">
        <w:rPr>
          <w:rFonts w:asciiTheme="minorHAnsi" w:hAnsiTheme="minorHAnsi" w:cstheme="minorHAnsi"/>
          <w:b/>
          <w:bCs/>
        </w:rPr>
        <w:lastRenderedPageBreak/>
        <w:t>Other suggested readings on the topic, but not specifically assigned:</w:t>
      </w:r>
    </w:p>
    <w:p w14:paraId="44CC1BD0" w14:textId="77777777" w:rsidR="00CE0DE8" w:rsidRPr="00E94125" w:rsidRDefault="00CE0DE8" w:rsidP="00CE0DE8">
      <w:pPr>
        <w:pStyle w:val="Default"/>
        <w:ind w:left="720"/>
        <w:rPr>
          <w:rFonts w:asciiTheme="minorHAnsi" w:hAnsiTheme="minorHAnsi" w:cstheme="minorHAnsi"/>
        </w:rPr>
      </w:pPr>
    </w:p>
    <w:p w14:paraId="7FA1EF72" w14:textId="644EF9A5" w:rsidR="00CE0DE8" w:rsidRPr="00E94125" w:rsidRDefault="00CE0DE8" w:rsidP="00CE0DE8">
      <w:pPr>
        <w:pStyle w:val="Default"/>
        <w:ind w:left="720"/>
        <w:rPr>
          <w:rFonts w:asciiTheme="minorHAnsi" w:hAnsiTheme="minorHAnsi" w:cstheme="minorHAnsi"/>
        </w:rPr>
      </w:pPr>
      <w:proofErr w:type="spellStart"/>
      <w:r w:rsidRPr="00E94125">
        <w:rPr>
          <w:rFonts w:asciiTheme="minorHAnsi" w:hAnsiTheme="minorHAnsi" w:cstheme="minorHAnsi"/>
        </w:rPr>
        <w:t>Noga</w:t>
      </w:r>
      <w:proofErr w:type="spellEnd"/>
      <w:r w:rsidRPr="00E94125">
        <w:rPr>
          <w:rFonts w:asciiTheme="minorHAnsi" w:hAnsiTheme="minorHAnsi" w:cstheme="minorHAnsi"/>
        </w:rPr>
        <w:t xml:space="preserve"> Fish Disease, Chapter 16: General Concepts in Therapy Pp 347-373</w:t>
      </w:r>
    </w:p>
    <w:p w14:paraId="1AE288AC" w14:textId="77777777" w:rsidR="00CE0DE8" w:rsidRPr="00E94125" w:rsidRDefault="00CE0DE8" w:rsidP="0057618E">
      <w:pPr>
        <w:pStyle w:val="Default"/>
        <w:ind w:left="720"/>
        <w:rPr>
          <w:rFonts w:asciiTheme="minorHAnsi" w:hAnsiTheme="minorHAnsi" w:cstheme="minorHAnsi"/>
          <w:b/>
          <w:bCs/>
        </w:rPr>
      </w:pPr>
    </w:p>
    <w:p w14:paraId="5BC216F9" w14:textId="28DFC08F" w:rsidR="008552E8" w:rsidRDefault="008552E8" w:rsidP="00E94125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E94125">
        <w:rPr>
          <w:rFonts w:cstheme="minorHAnsi"/>
          <w:sz w:val="24"/>
          <w:szCs w:val="24"/>
        </w:rPr>
        <w:t xml:space="preserve">Thomas et al. (2016), “Praziquantel degradation in marine aquarium water”. </w:t>
      </w:r>
      <w:proofErr w:type="spellStart"/>
      <w:r w:rsidRPr="00E94125">
        <w:rPr>
          <w:rFonts w:cstheme="minorHAnsi"/>
          <w:i/>
          <w:sz w:val="24"/>
          <w:szCs w:val="24"/>
        </w:rPr>
        <w:t>PeerJ</w:t>
      </w:r>
      <w:proofErr w:type="spellEnd"/>
      <w:r w:rsidRPr="00E94125">
        <w:rPr>
          <w:rFonts w:cstheme="minorHAnsi"/>
          <w:sz w:val="24"/>
          <w:szCs w:val="24"/>
        </w:rPr>
        <w:t xml:space="preserve"> 4:e1857; DOI</w:t>
      </w:r>
      <w:r w:rsidR="00E94125">
        <w:rPr>
          <w:rFonts w:cstheme="minorHAnsi"/>
          <w:sz w:val="24"/>
          <w:szCs w:val="24"/>
        </w:rPr>
        <w:t xml:space="preserve"> </w:t>
      </w:r>
      <w:r w:rsidRPr="00E94125">
        <w:rPr>
          <w:rFonts w:cstheme="minorHAnsi"/>
          <w:sz w:val="24"/>
          <w:szCs w:val="24"/>
        </w:rPr>
        <w:t>10.7717/peerj.1857</w:t>
      </w:r>
    </w:p>
    <w:p w14:paraId="2AEAF5CF" w14:textId="77777777" w:rsidR="00E94125" w:rsidRPr="00E94125" w:rsidRDefault="00E94125" w:rsidP="00E94125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3FF84728" w14:textId="289B4495" w:rsidR="008552E8" w:rsidRPr="00E94125" w:rsidRDefault="008552E8" w:rsidP="008552E8">
      <w:pPr>
        <w:ind w:left="720"/>
        <w:rPr>
          <w:rStyle w:val="A2"/>
          <w:rFonts w:asciiTheme="minorHAnsi" w:hAnsiTheme="minorHAnsi" w:cstheme="minorHAnsi"/>
          <w:sz w:val="24"/>
          <w:szCs w:val="24"/>
        </w:rPr>
      </w:pPr>
      <w:r w:rsidRPr="00E94125">
        <w:rPr>
          <w:rFonts w:cstheme="minorHAnsi"/>
          <w:bCs/>
          <w:sz w:val="24"/>
          <w:szCs w:val="24"/>
        </w:rPr>
        <w:t>Stacy J. Knight, Larry Boles</w:t>
      </w:r>
      <w:r w:rsidRPr="00E94125">
        <w:rPr>
          <w:rStyle w:val="A5"/>
          <w:rFonts w:asciiTheme="minorHAnsi" w:hAnsiTheme="minorHAnsi" w:cstheme="minorHAnsi"/>
          <w:sz w:val="24"/>
          <w:szCs w:val="24"/>
        </w:rPr>
        <w:t xml:space="preserve"> </w:t>
      </w:r>
      <w:r w:rsidRPr="00E94125">
        <w:rPr>
          <w:rFonts w:cstheme="minorHAnsi"/>
          <w:bCs/>
          <w:sz w:val="24"/>
          <w:szCs w:val="24"/>
        </w:rPr>
        <w:t>and M. Andrew Stamper</w:t>
      </w:r>
      <w:r w:rsidRPr="00E94125">
        <w:rPr>
          <w:rStyle w:val="A5"/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  <w:r w:rsidR="00E94125" w:rsidRPr="00E94125">
        <w:rPr>
          <w:rStyle w:val="A5"/>
          <w:rFonts w:asciiTheme="minorHAnsi" w:hAnsiTheme="minorHAnsi" w:cstheme="minorHAnsi"/>
          <w:b w:val="0"/>
          <w:bCs w:val="0"/>
          <w:sz w:val="24"/>
          <w:szCs w:val="24"/>
        </w:rPr>
        <w:t>(2016)</w:t>
      </w:r>
      <w:r w:rsidR="00E94125">
        <w:rPr>
          <w:rStyle w:val="A5"/>
          <w:rFonts w:asciiTheme="minorHAnsi" w:hAnsiTheme="minorHAnsi" w:cstheme="minorHAnsi"/>
          <w:sz w:val="24"/>
          <w:szCs w:val="24"/>
        </w:rPr>
        <w:t xml:space="preserve"> </w:t>
      </w:r>
      <w:r w:rsidRPr="00E94125">
        <w:rPr>
          <w:rStyle w:val="A5"/>
          <w:rFonts w:asciiTheme="minorHAnsi" w:hAnsiTheme="minorHAnsi" w:cstheme="minorHAnsi"/>
          <w:sz w:val="24"/>
          <w:szCs w:val="24"/>
        </w:rPr>
        <w:t>“</w:t>
      </w:r>
      <w:r w:rsidRPr="00E94125">
        <w:rPr>
          <w:rFonts w:cstheme="minorHAnsi"/>
          <w:bCs/>
          <w:sz w:val="24"/>
          <w:szCs w:val="24"/>
        </w:rPr>
        <w:t xml:space="preserve">Response of recirculating saltwater aquariums to long-term formalin treatment.” </w:t>
      </w:r>
      <w:r w:rsidRPr="00E94125">
        <w:rPr>
          <w:rStyle w:val="A2"/>
          <w:rFonts w:asciiTheme="minorHAnsi" w:hAnsiTheme="minorHAnsi" w:cstheme="minorHAnsi"/>
          <w:i/>
          <w:sz w:val="24"/>
          <w:szCs w:val="24"/>
        </w:rPr>
        <w:t>Journal of Zoo and Aquarium Research</w:t>
      </w:r>
      <w:r w:rsidRPr="00E94125">
        <w:rPr>
          <w:rStyle w:val="A2"/>
          <w:rFonts w:asciiTheme="minorHAnsi" w:hAnsiTheme="minorHAnsi" w:cstheme="minorHAnsi"/>
          <w:sz w:val="24"/>
          <w:szCs w:val="24"/>
        </w:rPr>
        <w:t xml:space="preserve"> 4(2)</w:t>
      </w:r>
      <w:r w:rsidR="00E94125">
        <w:rPr>
          <w:rStyle w:val="A2"/>
          <w:rFonts w:asciiTheme="minorHAnsi" w:hAnsiTheme="minorHAnsi" w:cstheme="minorHAnsi"/>
          <w:sz w:val="24"/>
          <w:szCs w:val="24"/>
        </w:rPr>
        <w:t>.</w:t>
      </w:r>
    </w:p>
    <w:p w14:paraId="407AAEA9" w14:textId="3BC44E21" w:rsidR="006F4AE6" w:rsidRDefault="006F4AE6" w:rsidP="0057618E">
      <w:pPr>
        <w:pStyle w:val="Default"/>
        <w:ind w:left="720"/>
        <w:rPr>
          <w:rFonts w:asciiTheme="minorHAnsi" w:hAnsiTheme="minorHAnsi"/>
        </w:rPr>
      </w:pPr>
    </w:p>
    <w:p w14:paraId="74F60AD2" w14:textId="656B7E49" w:rsidR="008552E8" w:rsidRDefault="008552E8" w:rsidP="0057618E">
      <w:pPr>
        <w:pStyle w:val="Default"/>
        <w:ind w:left="720"/>
        <w:rPr>
          <w:rFonts w:asciiTheme="minorHAnsi" w:hAnsiTheme="minorHAnsi"/>
        </w:rPr>
      </w:pPr>
    </w:p>
    <w:p w14:paraId="67D8935B" w14:textId="7A99E5EB" w:rsidR="008552E8" w:rsidRDefault="008552E8" w:rsidP="0057618E">
      <w:pPr>
        <w:pStyle w:val="Default"/>
        <w:ind w:left="720"/>
        <w:rPr>
          <w:rFonts w:asciiTheme="minorHAnsi" w:hAnsiTheme="minorHAnsi"/>
        </w:rPr>
      </w:pPr>
    </w:p>
    <w:p w14:paraId="7D165CBB" w14:textId="5DF07595" w:rsidR="008552E8" w:rsidRDefault="008552E8" w:rsidP="0057618E">
      <w:pPr>
        <w:pStyle w:val="Default"/>
        <w:ind w:left="720"/>
        <w:rPr>
          <w:rFonts w:asciiTheme="minorHAnsi" w:hAnsiTheme="minorHAnsi"/>
        </w:rPr>
      </w:pPr>
    </w:p>
    <w:p w14:paraId="11980C4E" w14:textId="77777777" w:rsidR="005D4E49" w:rsidRDefault="005D4E49" w:rsidP="00E406E9">
      <w:pPr>
        <w:pStyle w:val="ListParagraph"/>
      </w:pPr>
    </w:p>
    <w:sectPr w:rsidR="005D4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15101"/>
    <w:multiLevelType w:val="hybridMultilevel"/>
    <w:tmpl w:val="9F8EAE22"/>
    <w:lvl w:ilvl="0" w:tplc="FB56CC4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2AE84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F6AF4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3209D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4B63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2E55F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4BFF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C821A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A4F31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AF87EE0"/>
    <w:multiLevelType w:val="hybridMultilevel"/>
    <w:tmpl w:val="567C5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03193"/>
    <w:multiLevelType w:val="hybridMultilevel"/>
    <w:tmpl w:val="4D344A56"/>
    <w:lvl w:ilvl="0" w:tplc="3D2AD1A6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21"/>
    <w:rsid w:val="00006C71"/>
    <w:rsid w:val="0013103D"/>
    <w:rsid w:val="00294AC9"/>
    <w:rsid w:val="002A532A"/>
    <w:rsid w:val="002F3945"/>
    <w:rsid w:val="00387ABB"/>
    <w:rsid w:val="003C2999"/>
    <w:rsid w:val="00420152"/>
    <w:rsid w:val="004B4F53"/>
    <w:rsid w:val="004B56C8"/>
    <w:rsid w:val="004C2841"/>
    <w:rsid w:val="004D6C1D"/>
    <w:rsid w:val="00562BD6"/>
    <w:rsid w:val="0057618E"/>
    <w:rsid w:val="005D4E49"/>
    <w:rsid w:val="00632540"/>
    <w:rsid w:val="00645177"/>
    <w:rsid w:val="006B5621"/>
    <w:rsid w:val="006C2795"/>
    <w:rsid w:val="006F4AE6"/>
    <w:rsid w:val="007613E9"/>
    <w:rsid w:val="008347A1"/>
    <w:rsid w:val="008552E8"/>
    <w:rsid w:val="00917F7B"/>
    <w:rsid w:val="009E3529"/>
    <w:rsid w:val="00A00F64"/>
    <w:rsid w:val="00A82CFB"/>
    <w:rsid w:val="00A879E3"/>
    <w:rsid w:val="00C46FBC"/>
    <w:rsid w:val="00C47852"/>
    <w:rsid w:val="00CE0DE8"/>
    <w:rsid w:val="00CF0263"/>
    <w:rsid w:val="00D608FE"/>
    <w:rsid w:val="00DD29DC"/>
    <w:rsid w:val="00DF1D47"/>
    <w:rsid w:val="00E13D90"/>
    <w:rsid w:val="00E36677"/>
    <w:rsid w:val="00E406E9"/>
    <w:rsid w:val="00E94125"/>
    <w:rsid w:val="00E95078"/>
    <w:rsid w:val="00F9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877B9"/>
  <w15:docId w15:val="{3EC7207E-CE98-44FB-A563-95CF69B2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613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6C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79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A5"/>
    <w:uiPriority w:val="99"/>
    <w:rsid w:val="005D4E49"/>
    <w:rPr>
      <w:rFonts w:ascii="Calibri" w:hAnsi="Calibri" w:cs="Calibri" w:hint="default"/>
      <w:b/>
      <w:bCs/>
      <w:color w:val="000000"/>
      <w:sz w:val="10"/>
      <w:szCs w:val="10"/>
    </w:rPr>
  </w:style>
  <w:style w:type="character" w:customStyle="1" w:styleId="A2">
    <w:name w:val="A2"/>
    <w:uiPriority w:val="99"/>
    <w:rsid w:val="005D4E49"/>
    <w:rPr>
      <w:rFonts w:ascii="Calibri" w:hAnsi="Calibri" w:cs="Calibri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6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8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3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0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6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Tara Myers Harrison</cp:lastModifiedBy>
  <cp:revision>2</cp:revision>
  <dcterms:created xsi:type="dcterms:W3CDTF">2021-09-07T15:05:00Z</dcterms:created>
  <dcterms:modified xsi:type="dcterms:W3CDTF">2021-09-07T15:05:00Z</dcterms:modified>
</cp:coreProperties>
</file>