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B114" w14:textId="13521760" w:rsidR="001D7CB6" w:rsidRDefault="001D7CB6">
      <w:r>
        <w:t>Question:</w:t>
      </w:r>
    </w:p>
    <w:p w14:paraId="4F5775FF" w14:textId="3FEA0478" w:rsidR="001D7CB6" w:rsidRDefault="001D7CB6">
      <w:r>
        <w:t xml:space="preserve">What is the characteristic gross lesion associated with </w:t>
      </w:r>
      <w:r w:rsidR="006016CD">
        <w:t xml:space="preserve">both infectious myonecrosis (IMN) virus </w:t>
      </w:r>
      <w:r>
        <w:t xml:space="preserve">and </w:t>
      </w:r>
      <w:proofErr w:type="spellStart"/>
      <w:r>
        <w:t>microsporidiosis</w:t>
      </w:r>
      <w:proofErr w:type="spellEnd"/>
      <w:r>
        <w:t xml:space="preserve"> in decapods</w:t>
      </w:r>
      <w:r w:rsidR="00E020CB">
        <w:t xml:space="preserve">? Describe the </w:t>
      </w:r>
      <w:r w:rsidR="006016CD">
        <w:t xml:space="preserve">major </w:t>
      </w:r>
      <w:r>
        <w:t>difference between the lesions histologically</w:t>
      </w:r>
      <w:r w:rsidR="00E020CB">
        <w:t>.</w:t>
      </w:r>
    </w:p>
    <w:p w14:paraId="193FBE1B" w14:textId="3D6CDF82" w:rsidR="00AF2C93" w:rsidRDefault="00AF2C93"/>
    <w:p w14:paraId="14C765EE" w14:textId="1EEC0619" w:rsidR="00AF2C93" w:rsidRDefault="00AF2C93">
      <w:r>
        <w:t xml:space="preserve">Gross lesion - </w:t>
      </w:r>
      <w:r w:rsidRPr="00AF2C93">
        <w:t>enlarged, pale muscle, sometimes described as resembling ‘‘cooked meat’’</w:t>
      </w:r>
    </w:p>
    <w:p w14:paraId="5FB2A92C" w14:textId="0BA25845" w:rsidR="00321A9D" w:rsidRDefault="00321A9D">
      <w:proofErr w:type="spellStart"/>
      <w:r>
        <w:t>Histo</w:t>
      </w:r>
      <w:proofErr w:type="spellEnd"/>
      <w:r>
        <w:t xml:space="preserve"> lesions:</w:t>
      </w:r>
    </w:p>
    <w:p w14:paraId="6789C936" w14:textId="77777777" w:rsidR="004E6AAA" w:rsidRDefault="00321A9D" w:rsidP="004E6AAA">
      <w:pPr>
        <w:pStyle w:val="ListParagraph"/>
        <w:numPr>
          <w:ilvl w:val="0"/>
          <w:numId w:val="3"/>
        </w:numPr>
      </w:pPr>
      <w:proofErr w:type="spellStart"/>
      <w:r>
        <w:t>Microsporidiosis</w:t>
      </w:r>
      <w:proofErr w:type="spellEnd"/>
      <w:r>
        <w:t xml:space="preserve"> - </w:t>
      </w:r>
      <w:r w:rsidR="00315F3B">
        <w:t>very little tissue reaction or inflammation</w:t>
      </w:r>
    </w:p>
    <w:p w14:paraId="35310097" w14:textId="5DE2F97B" w:rsidR="00315F3B" w:rsidRDefault="00327373" w:rsidP="004E6AAA">
      <w:pPr>
        <w:pStyle w:val="ListParagraph"/>
        <w:numPr>
          <w:ilvl w:val="0"/>
          <w:numId w:val="3"/>
        </w:numPr>
      </w:pPr>
      <w:r>
        <w:t xml:space="preserve">IMN virus - </w:t>
      </w:r>
      <w:r w:rsidR="004E6AAA">
        <w:t xml:space="preserve">coagulative myonecrosis and </w:t>
      </w:r>
      <w:proofErr w:type="spellStart"/>
      <w:r w:rsidR="004E6AAA">
        <w:t>hemocytic</w:t>
      </w:r>
      <w:proofErr w:type="spellEnd"/>
      <w:r w:rsidR="004E6AAA">
        <w:t xml:space="preserve"> infiltration in acute phase, fibrosis in chronic stages</w:t>
      </w:r>
    </w:p>
    <w:p w14:paraId="34F26CB8" w14:textId="77777777" w:rsidR="009F0D3D" w:rsidRDefault="009F0D3D" w:rsidP="009F0D3D"/>
    <w:p w14:paraId="783CAF7B" w14:textId="77777777" w:rsidR="009F0D3D" w:rsidRDefault="009F0D3D" w:rsidP="009F0D3D">
      <w:pPr>
        <w:jc w:val="center"/>
        <w:rPr>
          <w:b/>
        </w:rPr>
      </w:pPr>
      <w:r>
        <w:rPr>
          <w:b/>
        </w:rPr>
        <w:t>2-PHENOXYETHANOL (2-PE) AND TRICAINE METHANESULFONATE (MS-222) IMMERSION ANESTHESIA OF AMERICAN HORSESHOE CRABS (LIMULUS POLYPHEMUS).</w:t>
      </w:r>
    </w:p>
    <w:p w14:paraId="4B24E9AF" w14:textId="77777777" w:rsidR="009F0D3D" w:rsidRDefault="009F0D3D" w:rsidP="009F0D3D">
      <w:pPr>
        <w:jc w:val="center"/>
      </w:pPr>
      <w:r>
        <w:t>Archibald KE, Scott GN, Bailey KM, Harms CA.</w:t>
      </w:r>
    </w:p>
    <w:p w14:paraId="6225BCE8" w14:textId="77777777" w:rsidR="009F0D3D" w:rsidRDefault="009F0D3D" w:rsidP="009F0D3D">
      <w:pPr>
        <w:jc w:val="center"/>
      </w:pPr>
      <w:r>
        <w:t xml:space="preserve">J Zoo </w:t>
      </w:r>
      <w:proofErr w:type="spellStart"/>
      <w:r>
        <w:t>Wildl</w:t>
      </w:r>
      <w:proofErr w:type="spellEnd"/>
      <w:r>
        <w:t xml:space="preserve"> Med. 2019 Apr;50(1):96-106</w:t>
      </w:r>
    </w:p>
    <w:p w14:paraId="5CCD046B" w14:textId="77777777" w:rsidR="009F0D3D" w:rsidRDefault="009F0D3D" w:rsidP="009F0D3D">
      <w:pPr>
        <w:jc w:val="center"/>
      </w:pPr>
    </w:p>
    <w:p w14:paraId="402F6B8A" w14:textId="77777777" w:rsidR="009F0D3D" w:rsidRDefault="009F0D3D" w:rsidP="009F0D3D">
      <w:pPr>
        <w:rPr>
          <w:b/>
        </w:rPr>
      </w:pPr>
      <w:r>
        <w:rPr>
          <w:b/>
        </w:rPr>
        <w:t>Which of the following parameters were unchanged with 2-phenoxyethanol anesthesia of horseshoe crabs?</w:t>
      </w:r>
    </w:p>
    <w:p w14:paraId="763D71D5" w14:textId="77777777" w:rsidR="009F0D3D" w:rsidRDefault="009F0D3D" w:rsidP="009F0D3D">
      <w:pPr>
        <w:numPr>
          <w:ilvl w:val="0"/>
          <w:numId w:val="4"/>
        </w:numPr>
        <w:spacing w:after="0" w:line="276" w:lineRule="auto"/>
      </w:pPr>
      <w:r>
        <w:t>Gilling rate</w:t>
      </w:r>
    </w:p>
    <w:p w14:paraId="2E44FD61" w14:textId="77777777" w:rsidR="009F0D3D" w:rsidRDefault="009F0D3D" w:rsidP="009F0D3D">
      <w:pPr>
        <w:numPr>
          <w:ilvl w:val="0"/>
          <w:numId w:val="4"/>
        </w:numPr>
        <w:spacing w:after="0" w:line="276" w:lineRule="auto"/>
      </w:pPr>
      <w:r>
        <w:t>Heart contractility</w:t>
      </w:r>
    </w:p>
    <w:p w14:paraId="27B9359A" w14:textId="77777777" w:rsidR="009F0D3D" w:rsidRDefault="009F0D3D" w:rsidP="009F0D3D">
      <w:pPr>
        <w:numPr>
          <w:ilvl w:val="0"/>
          <w:numId w:val="4"/>
        </w:numPr>
        <w:spacing w:after="0" w:line="276" w:lineRule="auto"/>
      </w:pPr>
      <w:r>
        <w:t>Blood pressure</w:t>
      </w:r>
    </w:p>
    <w:p w14:paraId="074A13BD" w14:textId="77777777" w:rsidR="009F0D3D" w:rsidRDefault="009F0D3D" w:rsidP="009F0D3D">
      <w:pPr>
        <w:numPr>
          <w:ilvl w:val="0"/>
          <w:numId w:val="4"/>
        </w:numPr>
        <w:spacing w:after="0" w:line="276" w:lineRule="auto"/>
      </w:pPr>
      <w:r>
        <w:t>pCO2</w:t>
      </w:r>
    </w:p>
    <w:p w14:paraId="3FE3F561" w14:textId="77777777" w:rsidR="009F0D3D" w:rsidRDefault="009F0D3D" w:rsidP="009F0D3D">
      <w:pPr>
        <w:numPr>
          <w:ilvl w:val="0"/>
          <w:numId w:val="4"/>
        </w:numPr>
        <w:spacing w:after="0" w:line="276" w:lineRule="auto"/>
        <w:rPr>
          <w:b/>
        </w:rPr>
      </w:pPr>
      <w:r>
        <w:rPr>
          <w:b/>
        </w:rPr>
        <w:t>Heart rate</w:t>
      </w:r>
    </w:p>
    <w:p w14:paraId="27495B2A" w14:textId="77777777" w:rsidR="009F0D3D" w:rsidRDefault="009F0D3D" w:rsidP="009F0D3D">
      <w:r>
        <w:br w:type="page"/>
      </w:r>
    </w:p>
    <w:p w14:paraId="1ECCD72C" w14:textId="77777777" w:rsidR="009F0D3D" w:rsidRDefault="009F0D3D" w:rsidP="009F0D3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Histologic Findings in Captive American Horseshoe Crabs (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Limulus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polyphemus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)</w:t>
      </w:r>
    </w:p>
    <w:p w14:paraId="33677CA4" w14:textId="77777777" w:rsidR="009F0D3D" w:rsidRDefault="009F0D3D" w:rsidP="009F0D3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Elise E. B. </w:t>
      </w:r>
      <w:proofErr w:type="spellStart"/>
      <w:r>
        <w:rPr>
          <w:rFonts w:ascii="Calibri" w:eastAsia="Calibri" w:hAnsi="Calibri" w:cs="Calibri"/>
          <w:sz w:val="20"/>
          <w:szCs w:val="20"/>
        </w:rPr>
        <w:t>LaDouceur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Lisa </w:t>
      </w:r>
      <w:proofErr w:type="spellStart"/>
      <w:r>
        <w:rPr>
          <w:rFonts w:ascii="Calibri" w:eastAsia="Calibri" w:hAnsi="Calibri" w:cs="Calibri"/>
          <w:sz w:val="20"/>
          <w:szCs w:val="20"/>
        </w:rPr>
        <w:t>Mangus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Michael M. Garner, and Andrew N. </w:t>
      </w:r>
      <w:proofErr w:type="spellStart"/>
      <w:r>
        <w:rPr>
          <w:rFonts w:ascii="Calibri" w:eastAsia="Calibri" w:hAnsi="Calibri" w:cs="Calibri"/>
          <w:sz w:val="20"/>
          <w:szCs w:val="20"/>
        </w:rPr>
        <w:t>Cartoceti</w:t>
      </w:r>
      <w:proofErr w:type="spellEnd"/>
    </w:p>
    <w:p w14:paraId="24256843" w14:textId="77777777" w:rsidR="009F0D3D" w:rsidRDefault="009F0D3D" w:rsidP="009F0D3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Veterinary Pathology 2019;56(6):932-939</w:t>
      </w:r>
    </w:p>
    <w:p w14:paraId="4A1D8D29" w14:textId="77777777" w:rsidR="009F0D3D" w:rsidRDefault="009F0D3D" w:rsidP="009F0D3D"/>
    <w:p w14:paraId="6ABD27EC" w14:textId="77777777" w:rsidR="009F0D3D" w:rsidRPr="006A1076" w:rsidRDefault="009F0D3D" w:rsidP="009F0D3D">
      <w:pPr>
        <w:rPr>
          <w:rFonts w:cstheme="minorHAnsi"/>
        </w:rPr>
      </w:pPr>
      <w:r>
        <w:rPr>
          <w:rFonts w:cstheme="minorHAnsi"/>
        </w:rPr>
        <w:t>D</w:t>
      </w:r>
      <w:r w:rsidRPr="006A1076">
        <w:rPr>
          <w:rFonts w:cstheme="minorHAnsi"/>
        </w:rPr>
        <w:t>escribe this structure</w:t>
      </w:r>
      <w:r>
        <w:rPr>
          <w:rFonts w:cstheme="minorHAnsi"/>
        </w:rPr>
        <w:t xml:space="preserve"> and its significance</w:t>
      </w:r>
      <w:r w:rsidRPr="006A1076">
        <w:rPr>
          <w:rFonts w:cstheme="minorHAnsi"/>
        </w:rPr>
        <w:t xml:space="preserve"> in the hepatopancreas of an American horseshoe crab.</w:t>
      </w:r>
    </w:p>
    <w:p w14:paraId="75B17441" w14:textId="77777777" w:rsidR="009F0D3D" w:rsidRDefault="009F0D3D" w:rsidP="009F0D3D">
      <w:r w:rsidRPr="006A1076">
        <w:rPr>
          <w:noProof/>
        </w:rPr>
        <w:drawing>
          <wp:inline distT="0" distB="0" distL="0" distR="0" wp14:anchorId="2EC0796C" wp14:editId="28FEEBCB">
            <wp:extent cx="3586163" cy="22279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063" cy="223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5D48E" w14:textId="77777777" w:rsidR="009F0D3D" w:rsidRPr="006A1076" w:rsidRDefault="009F0D3D" w:rsidP="009F0D3D">
      <w:pPr>
        <w:rPr>
          <w:rFonts w:cstheme="minorHAnsi"/>
        </w:rPr>
      </w:pPr>
    </w:p>
    <w:p w14:paraId="477817A3" w14:textId="77777777" w:rsidR="009F0D3D" w:rsidRDefault="009F0D3D" w:rsidP="009F0D3D">
      <w:pPr>
        <w:rPr>
          <w:rFonts w:ascii="Calibri" w:eastAsia="Calibri" w:hAnsi="Calibri" w:cs="Calibri"/>
          <w:sz w:val="20"/>
          <w:szCs w:val="20"/>
        </w:rPr>
      </w:pPr>
      <w:r w:rsidRPr="006A1076">
        <w:rPr>
          <w:rFonts w:cstheme="minorHAnsi"/>
        </w:rPr>
        <w:t>Hem</w:t>
      </w:r>
      <w:r>
        <w:rPr>
          <w:rFonts w:cstheme="minorHAnsi"/>
        </w:rPr>
        <w:t xml:space="preserve">ocyte </w:t>
      </w:r>
      <w:r w:rsidRPr="006A1076">
        <w:rPr>
          <w:rFonts w:cstheme="minorHAnsi"/>
        </w:rPr>
        <w:t xml:space="preserve">coagulum: </w:t>
      </w:r>
      <w:r>
        <w:rPr>
          <w:rFonts w:ascii="Calibri" w:eastAsia="Calibri" w:hAnsi="Calibri" w:cs="Calibri"/>
          <w:sz w:val="20"/>
          <w:szCs w:val="20"/>
        </w:rPr>
        <w:t>hemocytes, coagulin, necrotic cellular debris. This is an inflammatory response, likely to an infectious agent (most common with inflammation in the hepatopancreas is bacterial &gt; fungal). Encysted parasites are truly the most common infectious agent found in the hepatopancreas but often are easily appreciated on H&amp;E stain and only variably have an associated inflammatory response.</w:t>
      </w:r>
    </w:p>
    <w:p w14:paraId="652FB010" w14:textId="77777777" w:rsidR="009F0D3D" w:rsidRDefault="009F0D3D" w:rsidP="009F0D3D">
      <w:pPr>
        <w:rPr>
          <w:rFonts w:ascii="Calibri" w:eastAsia="Calibri" w:hAnsi="Calibri" w:cs="Calibri"/>
          <w:sz w:val="20"/>
          <w:szCs w:val="20"/>
        </w:rPr>
      </w:pPr>
    </w:p>
    <w:p w14:paraId="71824C92" w14:textId="77777777" w:rsidR="009F0D3D" w:rsidRPr="006A1076" w:rsidRDefault="009F0D3D" w:rsidP="009F0D3D">
      <w:pPr>
        <w:rPr>
          <w:rFonts w:cstheme="minorHAnsi"/>
        </w:rPr>
      </w:pPr>
      <w:r>
        <w:rPr>
          <w:rFonts w:ascii="Calibri" w:eastAsia="Calibri" w:hAnsi="Calibri" w:cs="Calibri"/>
          <w:sz w:val="20"/>
          <w:szCs w:val="20"/>
        </w:rPr>
        <w:t xml:space="preserve">Ex. </w:t>
      </w:r>
      <w:r w:rsidRPr="008F51CB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6A89021" wp14:editId="1BAE2379">
            <wp:extent cx="1512849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1858" cy="141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C8023" w14:textId="77777777" w:rsidR="009F0D3D" w:rsidRDefault="009F0D3D" w:rsidP="009F0D3D"/>
    <w:p w14:paraId="40A18A18" w14:textId="77777777" w:rsidR="009F0D3D" w:rsidRDefault="009F0D3D" w:rsidP="009F0D3D"/>
    <w:p w14:paraId="55946817" w14:textId="77777777" w:rsidR="009F0D3D" w:rsidRPr="00F708EA" w:rsidRDefault="009F0D3D" w:rsidP="009F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8EA">
        <w:rPr>
          <w:rFonts w:ascii="Times New Roman" w:eastAsia="Times New Roman" w:hAnsi="Times New Roman" w:cs="Times New Roman"/>
          <w:sz w:val="24"/>
          <w:szCs w:val="24"/>
        </w:rPr>
        <w:t>Doerr</w:t>
      </w:r>
      <w:proofErr w:type="spellEnd"/>
      <w:r w:rsidRPr="00F708EA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F708EA">
        <w:rPr>
          <w:rFonts w:ascii="Times New Roman" w:eastAsia="Times New Roman" w:hAnsi="Times New Roman" w:cs="Times New Roman"/>
          <w:sz w:val="24"/>
          <w:szCs w:val="24"/>
        </w:rPr>
        <w:t>Stoskopf</w:t>
      </w:r>
      <w:proofErr w:type="spellEnd"/>
      <w:r w:rsidRPr="00F708EA">
        <w:rPr>
          <w:rFonts w:ascii="Times New Roman" w:eastAsia="Times New Roman" w:hAnsi="Times New Roman" w:cs="Times New Roman"/>
          <w:sz w:val="24"/>
          <w:szCs w:val="24"/>
        </w:rPr>
        <w:t xml:space="preserve">, M. K. (2019). Evaluation of euthanasia of moon jellyfish (Aurelia </w:t>
      </w:r>
      <w:proofErr w:type="spellStart"/>
      <w:r w:rsidRPr="00F708EA">
        <w:rPr>
          <w:rFonts w:ascii="Times New Roman" w:eastAsia="Times New Roman" w:hAnsi="Times New Roman" w:cs="Times New Roman"/>
          <w:sz w:val="24"/>
          <w:szCs w:val="24"/>
        </w:rPr>
        <w:t>aurita</w:t>
      </w:r>
      <w:proofErr w:type="spellEnd"/>
      <w:r w:rsidRPr="00F708EA">
        <w:rPr>
          <w:rFonts w:ascii="Times New Roman" w:eastAsia="Times New Roman" w:hAnsi="Times New Roman" w:cs="Times New Roman"/>
          <w:sz w:val="24"/>
          <w:szCs w:val="24"/>
        </w:rPr>
        <w:t xml:space="preserve">) using simple salt solutions. </w:t>
      </w:r>
      <w:r w:rsidRPr="00F708E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Zoo and Wildlife Medicine</w:t>
      </w:r>
      <w:r w:rsidRPr="00F708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08E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F708EA">
        <w:rPr>
          <w:rFonts w:ascii="Times New Roman" w:eastAsia="Times New Roman" w:hAnsi="Times New Roman" w:cs="Times New Roman"/>
          <w:sz w:val="24"/>
          <w:szCs w:val="24"/>
        </w:rPr>
        <w:t>(1), 123-126.</w:t>
      </w:r>
    </w:p>
    <w:p w14:paraId="396A1EFC" w14:textId="77777777" w:rsidR="009F0D3D" w:rsidRPr="00F708EA" w:rsidRDefault="009F0D3D" w:rsidP="009F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38137" w14:textId="77777777" w:rsidR="009F0D3D" w:rsidRPr="00F708EA" w:rsidRDefault="009F0D3D" w:rsidP="009F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Abstract:</w:t>
      </w:r>
      <w:r w:rsidRPr="00F70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Immersion euthanasia methods reported over the most recent decades for aquatic invertebrates use organic alcohols or halogenated hydrocarbons that can interfere with nuclear </w:t>
      </w:r>
      <w:r w:rsidRPr="00F708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magnetic resonance (NMR) analysis. A rolling study design </w:t>
      </w:r>
      <w:r w:rsidRPr="00F70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evaluated potassium chloride (</w:t>
      </w:r>
      <w:proofErr w:type="spellStart"/>
      <w:r w:rsidRPr="00F70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KCl</w:t>
      </w:r>
      <w:proofErr w:type="spellEnd"/>
      <w:r w:rsidRPr="00F70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magnesium chloride (MgCl2), and magnesium sulfate (MgSO4) as potential ion-based euthanasia methods for moon jellyfish (Aurelia </w:t>
      </w:r>
      <w:proofErr w:type="spellStart"/>
      <w:r w:rsidRPr="00F70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aurita</w:t>
      </w:r>
      <w:proofErr w:type="spellEnd"/>
      <w:r w:rsidRPr="00F70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destined for metabolomic analysis by NMR</w:t>
      </w:r>
      <w:r w:rsidRPr="00F70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spectroscopy. Death was defined as the cessation of autonomous bell pulsing and response to external stimulus. </w:t>
      </w:r>
      <w:r w:rsidRPr="00F70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MgCl2 applied at a dose of 142 g/L provided euthanasia within 32 sec of applications without the untoward effects observed with the other two salts. Euthanasia with </w:t>
      </w:r>
      <w:proofErr w:type="spellStart"/>
      <w:r w:rsidRPr="00F70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KCl</w:t>
      </w:r>
      <w:proofErr w:type="spellEnd"/>
      <w:r w:rsidRPr="00F70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the doses tested was associated with abnormal behavior and tissue degradation during dissection. MgSO4 at the doses tested resulted in abnormal behavior and failed to provide rapid euthanasia.</w:t>
      </w:r>
      <w:r w:rsidRPr="00F708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F0E263" w14:textId="77777777" w:rsidR="009F0D3D" w:rsidRPr="00F708EA" w:rsidRDefault="009F0D3D" w:rsidP="009F0D3D">
      <w:pPr>
        <w:rPr>
          <w:rFonts w:ascii="Times New Roman" w:hAnsi="Times New Roman" w:cs="Times New Roman"/>
          <w:sz w:val="24"/>
          <w:szCs w:val="24"/>
        </w:rPr>
      </w:pPr>
    </w:p>
    <w:p w14:paraId="2D29CDC7" w14:textId="77777777" w:rsidR="009F0D3D" w:rsidRDefault="009F0D3D" w:rsidP="009F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</w:t>
      </w:r>
    </w:p>
    <w:p w14:paraId="37C80EA8" w14:textId="77777777" w:rsidR="009F0D3D" w:rsidRPr="00F708EA" w:rsidRDefault="009F0D3D" w:rsidP="009F0D3D">
      <w:pPr>
        <w:rPr>
          <w:rFonts w:ascii="Times New Roman" w:hAnsi="Times New Roman" w:cs="Times New Roman"/>
          <w:sz w:val="24"/>
          <w:szCs w:val="24"/>
        </w:rPr>
      </w:pPr>
      <w:r w:rsidRPr="00F708EA">
        <w:rPr>
          <w:rFonts w:ascii="Times New Roman" w:hAnsi="Times New Roman" w:cs="Times New Roman"/>
          <w:sz w:val="24"/>
          <w:szCs w:val="24"/>
        </w:rPr>
        <w:t>Which of the following solutions is preferred for humane euthanasia of moon jellyfish (</w:t>
      </w:r>
      <w:r w:rsidRPr="00F708EA">
        <w:rPr>
          <w:rFonts w:ascii="Times New Roman" w:hAnsi="Times New Roman" w:cs="Times New Roman"/>
          <w:i/>
          <w:sz w:val="24"/>
          <w:szCs w:val="24"/>
        </w:rPr>
        <w:t xml:space="preserve">Aurelia </w:t>
      </w:r>
      <w:proofErr w:type="spellStart"/>
      <w:r w:rsidRPr="00F708EA">
        <w:rPr>
          <w:rFonts w:ascii="Times New Roman" w:hAnsi="Times New Roman" w:cs="Times New Roman"/>
          <w:i/>
          <w:sz w:val="24"/>
          <w:szCs w:val="24"/>
        </w:rPr>
        <w:t>aurita</w:t>
      </w:r>
      <w:proofErr w:type="spellEnd"/>
      <w:r w:rsidRPr="00F708EA">
        <w:rPr>
          <w:rFonts w:ascii="Times New Roman" w:hAnsi="Times New Roman" w:cs="Times New Roman"/>
          <w:sz w:val="24"/>
          <w:szCs w:val="24"/>
        </w:rPr>
        <w:t>) to minimize interference with nuclear magnetic resonance (NMR) analysis of tissues following euthanasia?</w:t>
      </w:r>
    </w:p>
    <w:p w14:paraId="10E701D3" w14:textId="77777777" w:rsidR="009F0D3D" w:rsidRPr="00F708EA" w:rsidRDefault="009F0D3D" w:rsidP="009F0D3D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8EA"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14:paraId="093DB760" w14:textId="77777777" w:rsidR="009F0D3D" w:rsidRPr="00F708EA" w:rsidRDefault="009F0D3D" w:rsidP="009F0D3D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08EA">
        <w:rPr>
          <w:rFonts w:ascii="Times New Roman" w:hAnsi="Times New Roman" w:cs="Times New Roman"/>
          <w:sz w:val="24"/>
          <w:szCs w:val="24"/>
        </w:rPr>
        <w:t>MgSO4</w:t>
      </w:r>
    </w:p>
    <w:p w14:paraId="1FB08870" w14:textId="77777777" w:rsidR="009F0D3D" w:rsidRPr="00F708EA" w:rsidRDefault="009F0D3D" w:rsidP="009F0D3D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08EA">
        <w:rPr>
          <w:rFonts w:ascii="Times New Roman" w:hAnsi="Times New Roman" w:cs="Times New Roman"/>
          <w:sz w:val="24"/>
          <w:szCs w:val="24"/>
        </w:rPr>
        <w:t>Eugenol</w:t>
      </w:r>
    </w:p>
    <w:p w14:paraId="526EEAC2" w14:textId="77777777" w:rsidR="009F0D3D" w:rsidRPr="00F708EA" w:rsidRDefault="009F0D3D" w:rsidP="009F0D3D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08EA">
        <w:rPr>
          <w:rFonts w:ascii="Times New Roman" w:hAnsi="Times New Roman" w:cs="Times New Roman"/>
          <w:sz w:val="24"/>
          <w:szCs w:val="24"/>
        </w:rPr>
        <w:t>MgCl2</w:t>
      </w:r>
    </w:p>
    <w:p w14:paraId="0430E58E" w14:textId="77777777" w:rsidR="009F0D3D" w:rsidRPr="00F708EA" w:rsidRDefault="009F0D3D" w:rsidP="009F0D3D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08EA">
        <w:rPr>
          <w:rFonts w:ascii="Times New Roman" w:hAnsi="Times New Roman" w:cs="Times New Roman"/>
          <w:sz w:val="24"/>
          <w:szCs w:val="24"/>
        </w:rPr>
        <w:t>Pentobarbital</w:t>
      </w:r>
    </w:p>
    <w:p w14:paraId="62E31A3A" w14:textId="77777777" w:rsidR="009F0D3D" w:rsidRPr="00F708EA" w:rsidRDefault="009F0D3D" w:rsidP="009F0D3D">
      <w:pPr>
        <w:rPr>
          <w:rFonts w:ascii="Times New Roman" w:hAnsi="Times New Roman" w:cs="Times New Roman"/>
          <w:sz w:val="24"/>
          <w:szCs w:val="24"/>
        </w:rPr>
      </w:pPr>
      <w:r w:rsidRPr="00F708EA">
        <w:rPr>
          <w:rFonts w:ascii="Times New Roman" w:hAnsi="Times New Roman" w:cs="Times New Roman"/>
          <w:sz w:val="24"/>
          <w:szCs w:val="24"/>
        </w:rPr>
        <w:t>Ans: D – MgCl2 provides rapid euthanasia without eliciting abnormal behavior and suspected distress, does not interfere with NMR analysis.</w:t>
      </w:r>
    </w:p>
    <w:p w14:paraId="3D721244" w14:textId="77777777" w:rsidR="009F0D3D" w:rsidRPr="00F708EA" w:rsidRDefault="009F0D3D" w:rsidP="009F0D3D">
      <w:pPr>
        <w:rPr>
          <w:rFonts w:ascii="Times New Roman" w:hAnsi="Times New Roman" w:cs="Times New Roman"/>
          <w:sz w:val="24"/>
          <w:szCs w:val="24"/>
        </w:rPr>
      </w:pPr>
    </w:p>
    <w:p w14:paraId="5C338375" w14:textId="77777777" w:rsidR="009F0D3D" w:rsidRPr="00F708EA" w:rsidRDefault="009F0D3D" w:rsidP="009F0D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08E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F708EA">
        <w:rPr>
          <w:rFonts w:ascii="Times New Roman" w:hAnsi="Times New Roman" w:cs="Times New Roman"/>
          <w:sz w:val="24"/>
          <w:szCs w:val="24"/>
        </w:rPr>
        <w:t xml:space="preserve"> is associated with abnormal behavior and tissue degradation during dissection.</w:t>
      </w:r>
    </w:p>
    <w:p w14:paraId="3F4707A8" w14:textId="77777777" w:rsidR="009F0D3D" w:rsidRPr="00F708EA" w:rsidRDefault="009F0D3D" w:rsidP="009F0D3D">
      <w:pPr>
        <w:rPr>
          <w:rFonts w:ascii="Times New Roman" w:hAnsi="Times New Roman" w:cs="Times New Roman"/>
          <w:sz w:val="24"/>
          <w:szCs w:val="24"/>
        </w:rPr>
      </w:pPr>
      <w:r w:rsidRPr="00F708EA">
        <w:rPr>
          <w:rFonts w:ascii="Times New Roman" w:hAnsi="Times New Roman" w:cs="Times New Roman"/>
          <w:sz w:val="24"/>
          <w:szCs w:val="24"/>
        </w:rPr>
        <w:t>MgSO4 resulted in abnormal behavior and failed to provide rapid euthanasia.</w:t>
      </w:r>
    </w:p>
    <w:p w14:paraId="22FD7DF1" w14:textId="77777777" w:rsidR="009F0D3D" w:rsidRPr="00F708EA" w:rsidRDefault="009F0D3D" w:rsidP="009F0D3D">
      <w:pPr>
        <w:rPr>
          <w:rFonts w:ascii="Times New Roman" w:hAnsi="Times New Roman" w:cs="Times New Roman"/>
          <w:sz w:val="24"/>
          <w:szCs w:val="24"/>
        </w:rPr>
      </w:pPr>
    </w:p>
    <w:p w14:paraId="7ED9F14C" w14:textId="77777777" w:rsidR="009F0D3D" w:rsidRPr="00360F5A" w:rsidRDefault="009F0D3D" w:rsidP="009F0D3D">
      <w:pPr>
        <w:rPr>
          <w:rFonts w:ascii="Times New Roman" w:hAnsi="Times New Roman" w:cs="Times New Roman"/>
        </w:rPr>
      </w:pPr>
      <w:r w:rsidRPr="00360F5A">
        <w:rPr>
          <w:rFonts w:ascii="Times New Roman" w:hAnsi="Times New Roman" w:cs="Times New Roman"/>
        </w:rPr>
        <w:t>A recent study evaluating the effects of oxygen and isoflurane on blood gas values in two species of scorpions found which of the following?</w:t>
      </w:r>
    </w:p>
    <w:p w14:paraId="0A0AE726" w14:textId="77777777" w:rsidR="009F0D3D" w:rsidRPr="00360F5A" w:rsidRDefault="009F0D3D" w:rsidP="009F0D3D">
      <w:pPr>
        <w:rPr>
          <w:rFonts w:ascii="Times New Roman" w:hAnsi="Times New Roman" w:cs="Times New Roman"/>
        </w:rPr>
      </w:pPr>
    </w:p>
    <w:p w14:paraId="5F525E11" w14:textId="77777777" w:rsidR="009F0D3D" w:rsidRPr="00360F5A" w:rsidRDefault="009F0D3D" w:rsidP="009F0D3D">
      <w:pPr>
        <w:rPr>
          <w:rFonts w:ascii="Times New Roman" w:hAnsi="Times New Roman" w:cs="Times New Roman"/>
        </w:rPr>
      </w:pPr>
      <w:r w:rsidRPr="00360F5A">
        <w:rPr>
          <w:rFonts w:ascii="Times New Roman" w:hAnsi="Times New Roman" w:cs="Times New Roman"/>
        </w:rPr>
        <w:t>a. pO2 was higher for oxygen alone than for oxygen with isoflurane</w:t>
      </w:r>
    </w:p>
    <w:p w14:paraId="75EF9407" w14:textId="77777777" w:rsidR="009F0D3D" w:rsidRPr="00360F5A" w:rsidRDefault="009F0D3D" w:rsidP="009F0D3D">
      <w:pPr>
        <w:rPr>
          <w:rFonts w:ascii="Times New Roman" w:hAnsi="Times New Roman" w:cs="Times New Roman"/>
        </w:rPr>
      </w:pPr>
      <w:r w:rsidRPr="00360F5A">
        <w:rPr>
          <w:rFonts w:ascii="Times New Roman" w:hAnsi="Times New Roman" w:cs="Times New Roman"/>
        </w:rPr>
        <w:t xml:space="preserve">b. There were no significant differences in baseline blood gas values between species </w:t>
      </w:r>
    </w:p>
    <w:p w14:paraId="030ED94B" w14:textId="77777777" w:rsidR="009F0D3D" w:rsidRPr="00360F5A" w:rsidRDefault="009F0D3D" w:rsidP="009F0D3D">
      <w:pPr>
        <w:rPr>
          <w:rFonts w:ascii="Times New Roman" w:hAnsi="Times New Roman" w:cs="Times New Roman"/>
        </w:rPr>
      </w:pPr>
      <w:r w:rsidRPr="00360F5A">
        <w:rPr>
          <w:rFonts w:ascii="Times New Roman" w:hAnsi="Times New Roman" w:cs="Times New Roman"/>
        </w:rPr>
        <w:t>c. Hemolymph pH decreased significantly in oxygen compared to room air and isoflurane</w:t>
      </w:r>
    </w:p>
    <w:p w14:paraId="6BB2B263" w14:textId="77777777" w:rsidR="009F0D3D" w:rsidRPr="00360F5A" w:rsidRDefault="009F0D3D" w:rsidP="009F0D3D">
      <w:pPr>
        <w:rPr>
          <w:rFonts w:ascii="Times New Roman" w:hAnsi="Times New Roman" w:cs="Times New Roman"/>
        </w:rPr>
      </w:pPr>
      <w:r w:rsidRPr="00360F5A">
        <w:rPr>
          <w:rFonts w:ascii="Times New Roman" w:hAnsi="Times New Roman" w:cs="Times New Roman"/>
        </w:rPr>
        <w:t>d. There were no significant differences in induction time between species</w:t>
      </w:r>
    </w:p>
    <w:p w14:paraId="41727D3F" w14:textId="77777777" w:rsidR="009F0D3D" w:rsidRPr="00360F5A" w:rsidRDefault="009F0D3D" w:rsidP="009F0D3D">
      <w:pPr>
        <w:rPr>
          <w:rFonts w:ascii="Times New Roman" w:hAnsi="Times New Roman" w:cs="Times New Roman"/>
        </w:rPr>
      </w:pPr>
      <w:r w:rsidRPr="00360F5A">
        <w:rPr>
          <w:rFonts w:ascii="Times New Roman" w:hAnsi="Times New Roman" w:cs="Times New Roman"/>
        </w:rPr>
        <w:t>e. Hemolymph bicarbonate decreased significantly in isoflurane compared to oxygen and room air</w:t>
      </w:r>
    </w:p>
    <w:p w14:paraId="603BBF6A" w14:textId="77777777" w:rsidR="009F0D3D" w:rsidRPr="00360F5A" w:rsidRDefault="009F0D3D" w:rsidP="009F0D3D">
      <w:pPr>
        <w:rPr>
          <w:rFonts w:ascii="Times New Roman" w:hAnsi="Times New Roman" w:cs="Times New Roman"/>
        </w:rPr>
      </w:pPr>
    </w:p>
    <w:p w14:paraId="6F2B2411" w14:textId="77777777" w:rsidR="009F0D3D" w:rsidRPr="00360F5A" w:rsidRDefault="009F0D3D" w:rsidP="009F0D3D">
      <w:pPr>
        <w:rPr>
          <w:rFonts w:ascii="Times New Roman" w:hAnsi="Times New Roman" w:cs="Times New Roman"/>
        </w:rPr>
      </w:pPr>
      <w:r w:rsidRPr="00360F5A">
        <w:rPr>
          <w:rFonts w:ascii="Times New Roman" w:hAnsi="Times New Roman" w:cs="Times New Roman"/>
        </w:rPr>
        <w:t>Answer: C</w:t>
      </w:r>
    </w:p>
    <w:p w14:paraId="103B7F6E" w14:textId="77777777" w:rsidR="009F0D3D" w:rsidRDefault="009F0D3D" w:rsidP="009F0D3D">
      <w:bookmarkStart w:id="0" w:name="_GoBack"/>
      <w:bookmarkEnd w:id="0"/>
    </w:p>
    <w:sectPr w:rsidR="009F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C00"/>
    <w:multiLevelType w:val="multilevel"/>
    <w:tmpl w:val="1EA4C08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E6AB7"/>
    <w:multiLevelType w:val="hybridMultilevel"/>
    <w:tmpl w:val="57607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0C14"/>
    <w:multiLevelType w:val="hybridMultilevel"/>
    <w:tmpl w:val="2CDE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022"/>
    <w:multiLevelType w:val="hybridMultilevel"/>
    <w:tmpl w:val="A5E851BA"/>
    <w:lvl w:ilvl="0" w:tplc="27CC1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0B34"/>
    <w:multiLevelType w:val="hybridMultilevel"/>
    <w:tmpl w:val="3384B4BC"/>
    <w:lvl w:ilvl="0" w:tplc="27CC1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B6"/>
    <w:rsid w:val="001D7CB6"/>
    <w:rsid w:val="00315F3B"/>
    <w:rsid w:val="00321A9D"/>
    <w:rsid w:val="00327373"/>
    <w:rsid w:val="004E6AAA"/>
    <w:rsid w:val="006016CD"/>
    <w:rsid w:val="009F0D3D"/>
    <w:rsid w:val="00AF2C93"/>
    <w:rsid w:val="00E0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6F79"/>
  <w15:chartTrackingRefBased/>
  <w15:docId w15:val="{A09016E1-2E02-40A6-A27A-55DD234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K</dc:creator>
  <cp:keywords/>
  <dc:description/>
  <cp:lastModifiedBy>Tara Myers Harrison</cp:lastModifiedBy>
  <cp:revision>2</cp:revision>
  <dcterms:created xsi:type="dcterms:W3CDTF">2020-09-09T16:37:00Z</dcterms:created>
  <dcterms:modified xsi:type="dcterms:W3CDTF">2020-09-09T16:37:00Z</dcterms:modified>
</cp:coreProperties>
</file>