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D2C9FE" w14:textId="77777777" w:rsidR="00E4441B" w:rsidRPr="00E4441B" w:rsidRDefault="00E4441B" w:rsidP="00E4441B">
      <w:pPr>
        <w:jc w:val="center"/>
        <w:rPr>
          <w:b/>
        </w:rPr>
      </w:pPr>
      <w:r w:rsidRPr="00E4441B">
        <w:rPr>
          <w:b/>
        </w:rPr>
        <w:t>MICROSPORIDIOSIS IN PEPPERMINT SHRIMP (DECAPODA: HIPPOLYTIDAE: LYSMATA SPP.)</w:t>
      </w:r>
    </w:p>
    <w:p w14:paraId="579BF99A" w14:textId="77777777" w:rsidR="00E4441B" w:rsidRDefault="00E4441B" w:rsidP="00E4441B">
      <w:pPr>
        <w:jc w:val="center"/>
      </w:pPr>
    </w:p>
    <w:p w14:paraId="15C36B1B" w14:textId="77777777" w:rsidR="00E4441B" w:rsidRPr="00E4441B" w:rsidRDefault="00E4441B" w:rsidP="00E4441B">
      <w:pPr>
        <w:jc w:val="center"/>
        <w:rPr>
          <w:sz w:val="18"/>
          <w:szCs w:val="18"/>
        </w:rPr>
      </w:pPr>
      <w:r w:rsidRPr="00E4441B">
        <w:rPr>
          <w:sz w:val="18"/>
          <w:szCs w:val="18"/>
        </w:rPr>
        <w:t xml:space="preserve">Elise E.B. </w:t>
      </w:r>
      <w:proofErr w:type="spellStart"/>
      <w:r w:rsidRPr="00E4441B">
        <w:rPr>
          <w:sz w:val="18"/>
          <w:szCs w:val="18"/>
        </w:rPr>
        <w:t>LaDouceur</w:t>
      </w:r>
      <w:proofErr w:type="spellEnd"/>
      <w:r w:rsidRPr="00E4441B">
        <w:rPr>
          <w:sz w:val="18"/>
          <w:szCs w:val="18"/>
        </w:rPr>
        <w:t>, D.V.M., Dipl. A.C.V.P. and Brian G. Murphy, D.V.M., Ph.D., Dipl. A.C.V.P.</w:t>
      </w:r>
    </w:p>
    <w:p w14:paraId="04F09C57" w14:textId="77777777" w:rsidR="00E4441B" w:rsidRDefault="00E4441B"/>
    <w:p w14:paraId="1DAA6B8E" w14:textId="77777777" w:rsidR="00E4441B" w:rsidRPr="00E4441B" w:rsidRDefault="00E4441B" w:rsidP="00E4441B">
      <w:pPr>
        <w:jc w:val="center"/>
        <w:rPr>
          <w:sz w:val="18"/>
          <w:szCs w:val="18"/>
        </w:rPr>
      </w:pPr>
      <w:r w:rsidRPr="00E4441B">
        <w:rPr>
          <w:sz w:val="18"/>
          <w:szCs w:val="18"/>
        </w:rPr>
        <w:t>Journal of Zoo and Wild</w:t>
      </w:r>
      <w:r w:rsidR="00852EC3">
        <w:rPr>
          <w:sz w:val="18"/>
          <w:szCs w:val="18"/>
        </w:rPr>
        <w:t>life Medicine 2017</w:t>
      </w:r>
      <w:r w:rsidRPr="00E4441B">
        <w:rPr>
          <w:sz w:val="18"/>
          <w:szCs w:val="18"/>
        </w:rPr>
        <w:t xml:space="preserve"> 48(4):1223-1229</w:t>
      </w:r>
    </w:p>
    <w:p w14:paraId="2DECF809" w14:textId="77777777" w:rsidR="00E4441B" w:rsidRDefault="00E4441B"/>
    <w:p w14:paraId="76F435C0" w14:textId="77777777" w:rsidR="00E4441B" w:rsidRDefault="00E4441B">
      <w:r w:rsidRPr="00E4441B">
        <w:rPr>
          <w:b/>
        </w:rPr>
        <w:t>Abstract</w:t>
      </w:r>
      <w:r>
        <w:t xml:space="preserve">: Microsporidia are a diverse, parasitic phylum closely related to fungi. They infect a broad range of host species and tissues. This report describes </w:t>
      </w:r>
      <w:proofErr w:type="spellStart"/>
      <w:r>
        <w:t>microsporidiosis</w:t>
      </w:r>
      <w:proofErr w:type="spellEnd"/>
      <w:r>
        <w:t xml:space="preserve"> infection in a captive, wild-caught peppermint shrimp (</w:t>
      </w:r>
      <w:proofErr w:type="spellStart"/>
      <w:r>
        <w:t>Lysmata</w:t>
      </w:r>
      <w:proofErr w:type="spellEnd"/>
      <w:r>
        <w:t xml:space="preserve"> spp.). The animal was found dead in its enclosure approximately 5 days after molting. Grossly, the skeletal musculature was diffusely swollen, opaque, and pale tan to white. Histologically, skeletal myofibers were replaced by large aggregates of </w:t>
      </w:r>
      <w:proofErr w:type="spellStart"/>
      <w:r>
        <w:t>sporophorous</w:t>
      </w:r>
      <w:proofErr w:type="spellEnd"/>
      <w:r>
        <w:t xml:space="preserve"> vesicles containing up to eight spores and earlier stages of sporogony. Tissue inflammation was minimal. Spores had positive staining with Luna's, Giemsa, </w:t>
      </w:r>
      <w:proofErr w:type="spellStart"/>
      <w:r>
        <w:t>Fites</w:t>
      </w:r>
      <w:proofErr w:type="spellEnd"/>
      <w:r>
        <w:t xml:space="preserve"> acid fast, and Brown and </w:t>
      </w:r>
      <w:proofErr w:type="spellStart"/>
      <w:r>
        <w:t>Brenn</w:t>
      </w:r>
      <w:proofErr w:type="spellEnd"/>
      <w:r>
        <w:t xml:space="preserve"> Gram stains. </w:t>
      </w:r>
      <w:proofErr w:type="spellStart"/>
      <w:r>
        <w:t>Ultrastructurally</w:t>
      </w:r>
      <w:proofErr w:type="spellEnd"/>
      <w:r>
        <w:t xml:space="preserve">, spores were ovoid with an </w:t>
      </w:r>
      <w:proofErr w:type="spellStart"/>
      <w:r>
        <w:t>exo</w:t>
      </w:r>
      <w:proofErr w:type="spellEnd"/>
      <w:r>
        <w:t xml:space="preserve">- and endospore, lamellar polaroplast, and polar tube arranged in 9 to 14 basilar, </w:t>
      </w:r>
      <w:proofErr w:type="spellStart"/>
      <w:r>
        <w:t>bilayered</w:t>
      </w:r>
      <w:proofErr w:type="spellEnd"/>
      <w:r>
        <w:t xml:space="preserve"> coils with a straight, apical manubrium. Spores and earlier stages of sporogony were contained within </w:t>
      </w:r>
      <w:proofErr w:type="spellStart"/>
      <w:r>
        <w:t>sporophorous</w:t>
      </w:r>
      <w:proofErr w:type="spellEnd"/>
      <w:r>
        <w:t xml:space="preserve"> vesicles. This is the first report of </w:t>
      </w:r>
      <w:proofErr w:type="spellStart"/>
      <w:r>
        <w:t>microsporidiosis</w:t>
      </w:r>
      <w:proofErr w:type="spellEnd"/>
      <w:r>
        <w:t xml:space="preserve"> in a shrimp from the family </w:t>
      </w:r>
      <w:proofErr w:type="spellStart"/>
      <w:r>
        <w:t>Hippolytidae</w:t>
      </w:r>
      <w:proofErr w:type="spellEnd"/>
      <w:r>
        <w:t xml:space="preserve">. </w:t>
      </w:r>
    </w:p>
    <w:p w14:paraId="11BF07B4" w14:textId="77777777" w:rsidR="00E4441B" w:rsidRDefault="00E4441B"/>
    <w:p w14:paraId="68974F18" w14:textId="77777777" w:rsidR="00B05168" w:rsidRDefault="00B05168">
      <w:r>
        <w:t>Intro</w:t>
      </w:r>
      <w:r w:rsidR="00E4441B">
        <w:t xml:space="preserve">: </w:t>
      </w:r>
    </w:p>
    <w:p w14:paraId="0FC2293C" w14:textId="77777777" w:rsidR="00B05168" w:rsidRDefault="00E4441B" w:rsidP="00B05168">
      <w:pPr>
        <w:pStyle w:val="ListParagraph"/>
        <w:numPr>
          <w:ilvl w:val="0"/>
          <w:numId w:val="1"/>
        </w:numPr>
      </w:pPr>
      <w:r>
        <w:t>Microsporidia = diverse parasitic phylum recently classified as</w:t>
      </w:r>
      <w:r w:rsidR="00B05168">
        <w:t xml:space="preserve"> fungal-related taxon</w:t>
      </w:r>
    </w:p>
    <w:p w14:paraId="26B48A49" w14:textId="77777777" w:rsidR="00B05168" w:rsidRDefault="00E4441B" w:rsidP="00B05168">
      <w:pPr>
        <w:pStyle w:val="ListParagraph"/>
        <w:numPr>
          <w:ilvl w:val="0"/>
          <w:numId w:val="1"/>
        </w:numPr>
      </w:pPr>
      <w:r>
        <w:t>broad or narrow host range</w:t>
      </w:r>
    </w:p>
    <w:p w14:paraId="7729E1CA" w14:textId="77777777" w:rsidR="00B05168" w:rsidRDefault="00B05168" w:rsidP="00B05168">
      <w:pPr>
        <w:pStyle w:val="ListParagraph"/>
        <w:numPr>
          <w:ilvl w:val="0"/>
          <w:numId w:val="1"/>
        </w:numPr>
      </w:pPr>
      <w:r>
        <w:t>transmitted via ingestion</w:t>
      </w:r>
    </w:p>
    <w:p w14:paraId="1CC80955" w14:textId="77777777" w:rsidR="00B05168" w:rsidRDefault="00B05168" w:rsidP="00B05168">
      <w:pPr>
        <w:pStyle w:val="ListParagraph"/>
        <w:numPr>
          <w:ilvl w:val="0"/>
          <w:numId w:val="1"/>
        </w:numPr>
      </w:pPr>
      <w:r>
        <w:t>s</w:t>
      </w:r>
      <w:r w:rsidR="00E4441B">
        <w:t>ome m</w:t>
      </w:r>
      <w:r>
        <w:t>ay require intermediate hosts</w:t>
      </w:r>
    </w:p>
    <w:p w14:paraId="2BEB24FA" w14:textId="77777777" w:rsidR="00F761E1" w:rsidRDefault="00B05168" w:rsidP="00B05168">
      <w:pPr>
        <w:pStyle w:val="ListParagraph"/>
        <w:numPr>
          <w:ilvl w:val="0"/>
          <w:numId w:val="1"/>
        </w:numPr>
      </w:pPr>
      <w:r>
        <w:t>o</w:t>
      </w:r>
      <w:r w:rsidR="00E4441B">
        <w:t>bligate intracellular (depend on cell mitochondria)</w:t>
      </w:r>
    </w:p>
    <w:p w14:paraId="040C7668" w14:textId="77777777" w:rsidR="00F761E1" w:rsidRDefault="00F761E1" w:rsidP="00B05168">
      <w:pPr>
        <w:pStyle w:val="ListParagraph"/>
        <w:numPr>
          <w:ilvl w:val="0"/>
          <w:numId w:val="1"/>
        </w:numPr>
      </w:pPr>
      <w:r>
        <w:t>s</w:t>
      </w:r>
      <w:r w:rsidR="00E4441B">
        <w:t>pores invade host, lifecycle in cell, form microsporidia</w:t>
      </w:r>
    </w:p>
    <w:p w14:paraId="09B87FAB" w14:textId="77777777" w:rsidR="008476DF" w:rsidRDefault="00E4441B" w:rsidP="00B05168">
      <w:pPr>
        <w:pStyle w:val="ListParagraph"/>
        <w:numPr>
          <w:ilvl w:val="0"/>
          <w:numId w:val="1"/>
        </w:numPr>
      </w:pPr>
      <w:r>
        <w:t>Peppermint shrimp= small, benthic, common in marine aquaria</w:t>
      </w:r>
    </w:p>
    <w:p w14:paraId="411ABA9A" w14:textId="2AE4F300" w:rsidR="00E4441B" w:rsidRPr="004E73FD" w:rsidRDefault="008476DF" w:rsidP="00774F2D">
      <w:pPr>
        <w:pStyle w:val="ListParagraph"/>
        <w:numPr>
          <w:ilvl w:val="0"/>
          <w:numId w:val="1"/>
        </w:numPr>
        <w:rPr>
          <w:b/>
          <w:bCs/>
        </w:rPr>
      </w:pPr>
      <w:r w:rsidRPr="004E73FD">
        <w:rPr>
          <w:b/>
          <w:bCs/>
        </w:rPr>
        <w:t>t</w:t>
      </w:r>
      <w:r w:rsidR="00E4441B" w:rsidRPr="004E73FD">
        <w:rPr>
          <w:b/>
          <w:bCs/>
        </w:rPr>
        <w:t>ransmission generally by host death and release of spores</w:t>
      </w:r>
    </w:p>
    <w:p w14:paraId="39756CAE" w14:textId="77777777" w:rsidR="00E4441B" w:rsidRDefault="00E4441B"/>
    <w:p w14:paraId="0DC78668" w14:textId="7D60DB4C" w:rsidR="000C2231" w:rsidRDefault="00E4441B">
      <w:r>
        <w:t>C</w:t>
      </w:r>
      <w:r w:rsidR="000C2231">
        <w:t>ase</w:t>
      </w:r>
      <w:r>
        <w:t xml:space="preserve">: </w:t>
      </w:r>
    </w:p>
    <w:p w14:paraId="7C4F5DF6" w14:textId="26D7F05E" w:rsidR="000C2231" w:rsidRDefault="00E4441B" w:rsidP="000C2231">
      <w:pPr>
        <w:pStyle w:val="ListParagraph"/>
        <w:numPr>
          <w:ilvl w:val="0"/>
          <w:numId w:val="2"/>
        </w:numPr>
      </w:pPr>
      <w:r>
        <w:t xml:space="preserve">Wild-caught from </w:t>
      </w:r>
      <w:proofErr w:type="gramStart"/>
      <w:r>
        <w:t>Caribbean sea</w:t>
      </w:r>
      <w:proofErr w:type="gramEnd"/>
      <w:r>
        <w:t>, private aquaria</w:t>
      </w:r>
      <w:r w:rsidR="000C2231">
        <w:t xml:space="preserve">, </w:t>
      </w:r>
      <w:r>
        <w:t>died in 5 days</w:t>
      </w:r>
    </w:p>
    <w:p w14:paraId="0512FFB5" w14:textId="31EA36A5" w:rsidR="00CF0996" w:rsidRDefault="00E4441B" w:rsidP="000C2231">
      <w:pPr>
        <w:pStyle w:val="ListParagraph"/>
        <w:numPr>
          <w:ilvl w:val="0"/>
          <w:numId w:val="2"/>
        </w:numPr>
      </w:pPr>
      <w:r>
        <w:t xml:space="preserve">gross exam </w:t>
      </w:r>
      <w:r w:rsidR="00FE789A">
        <w:t>-</w:t>
      </w:r>
      <w:r>
        <w:t xml:space="preserve"> markedly swollen, opaque, pale-tan muscle</w:t>
      </w:r>
    </w:p>
    <w:p w14:paraId="65E878A6" w14:textId="77777777" w:rsidR="00CF0996" w:rsidRDefault="00E4441B" w:rsidP="000C2231">
      <w:pPr>
        <w:pStyle w:val="ListParagraph"/>
        <w:numPr>
          <w:ilvl w:val="0"/>
          <w:numId w:val="2"/>
        </w:numPr>
      </w:pPr>
      <w:proofErr w:type="spellStart"/>
      <w:r>
        <w:t>Histo</w:t>
      </w:r>
      <w:proofErr w:type="spellEnd"/>
      <w:r>
        <w:t xml:space="preserve"> </w:t>
      </w:r>
      <w:r w:rsidR="00CF0996">
        <w:t>-</w:t>
      </w:r>
      <w:r>
        <w:t xml:space="preserve"> all myofibers distended by dense aggregates of intracellular </w:t>
      </w:r>
      <w:proofErr w:type="spellStart"/>
      <w:r>
        <w:t>oganisms</w:t>
      </w:r>
      <w:proofErr w:type="spellEnd"/>
      <w:r>
        <w:t xml:space="preserve"> in two forms: mature spores and early stages of </w:t>
      </w:r>
      <w:proofErr w:type="spellStart"/>
      <w:r>
        <w:t>sporogeny</w:t>
      </w:r>
      <w:proofErr w:type="spellEnd"/>
      <w:r>
        <w:t xml:space="preserve">. No inflammatory response. </w:t>
      </w:r>
    </w:p>
    <w:p w14:paraId="68D714AB" w14:textId="541AB5AC" w:rsidR="00E4441B" w:rsidRDefault="00E4441B" w:rsidP="000C2231">
      <w:pPr>
        <w:pStyle w:val="ListParagraph"/>
        <w:numPr>
          <w:ilvl w:val="0"/>
          <w:numId w:val="2"/>
        </w:numPr>
      </w:pPr>
      <w:r>
        <w:t xml:space="preserve">Morphology identified microsporidian as </w:t>
      </w:r>
      <w:proofErr w:type="spellStart"/>
      <w:r>
        <w:t>Thelohania</w:t>
      </w:r>
      <w:proofErr w:type="spellEnd"/>
      <w:r>
        <w:t xml:space="preserve"> or </w:t>
      </w:r>
      <w:proofErr w:type="spellStart"/>
      <w:r>
        <w:t>Agmasoma</w:t>
      </w:r>
      <w:proofErr w:type="spellEnd"/>
      <w:r>
        <w:t xml:space="preserve"> spp. </w:t>
      </w:r>
    </w:p>
    <w:p w14:paraId="1FB869CB" w14:textId="0A3C8809" w:rsidR="008A549D" w:rsidRDefault="008A549D" w:rsidP="000C2231">
      <w:pPr>
        <w:pStyle w:val="ListParagraph"/>
        <w:numPr>
          <w:ilvl w:val="0"/>
          <w:numId w:val="2"/>
        </w:numPr>
      </w:pPr>
      <w:r>
        <w:t xml:space="preserve">PCR unsuccessful </w:t>
      </w:r>
    </w:p>
    <w:p w14:paraId="1E40CC93" w14:textId="77777777" w:rsidR="00E4441B" w:rsidRDefault="00E4441B"/>
    <w:p w14:paraId="3223D20D" w14:textId="77777777" w:rsidR="00CF0996" w:rsidRDefault="00CF0996">
      <w:r>
        <w:t>Discussion:</w:t>
      </w:r>
    </w:p>
    <w:p w14:paraId="26FCCF06" w14:textId="29C170CE" w:rsidR="00CF0996" w:rsidRDefault="00CF0996" w:rsidP="00CF0996">
      <w:pPr>
        <w:pStyle w:val="ListParagraph"/>
        <w:numPr>
          <w:ilvl w:val="0"/>
          <w:numId w:val="3"/>
        </w:numPr>
        <w:rPr>
          <w:noProof/>
        </w:rPr>
      </w:pPr>
      <w:r>
        <w:t xml:space="preserve">first report of </w:t>
      </w:r>
      <w:proofErr w:type="spellStart"/>
      <w:r>
        <w:t>microsporidiosis</w:t>
      </w:r>
      <w:proofErr w:type="spellEnd"/>
      <w:r>
        <w:t xml:space="preserve"> in a peppermint shrimp </w:t>
      </w:r>
    </w:p>
    <w:p w14:paraId="6BB12931" w14:textId="26510A92" w:rsidR="004D0C3D" w:rsidRDefault="004D0C3D" w:rsidP="00CF0996">
      <w:pPr>
        <w:pStyle w:val="ListParagraph"/>
        <w:numPr>
          <w:ilvl w:val="0"/>
          <w:numId w:val="3"/>
        </w:numPr>
        <w:rPr>
          <w:b/>
          <w:bCs/>
          <w:noProof/>
        </w:rPr>
      </w:pPr>
      <w:r w:rsidRPr="00524021">
        <w:rPr>
          <w:b/>
          <w:bCs/>
        </w:rPr>
        <w:t>characteristic gross lesion - enlarged, pale muscle, sometimes described as resembling ‘‘cooked meat’’</w:t>
      </w:r>
    </w:p>
    <w:p w14:paraId="0E0F467B" w14:textId="3B65A1DE" w:rsidR="00CB028E" w:rsidRPr="00524021" w:rsidRDefault="00CB028E" w:rsidP="00CB028E">
      <w:pPr>
        <w:pStyle w:val="ListParagraph"/>
        <w:numPr>
          <w:ilvl w:val="1"/>
          <w:numId w:val="3"/>
        </w:numPr>
        <w:rPr>
          <w:b/>
          <w:bCs/>
          <w:noProof/>
        </w:rPr>
      </w:pPr>
      <w:proofErr w:type="spellStart"/>
      <w:r>
        <w:t>microsporidiosis</w:t>
      </w:r>
      <w:proofErr w:type="spellEnd"/>
      <w:r>
        <w:t xml:space="preserve"> causes very little tissue reaction or inflammation</w:t>
      </w:r>
    </w:p>
    <w:p w14:paraId="3DF33697" w14:textId="44FF9C89" w:rsidR="00CF0996" w:rsidRDefault="00E4441B" w:rsidP="00CF0996">
      <w:pPr>
        <w:pStyle w:val="ListParagraph"/>
        <w:numPr>
          <w:ilvl w:val="0"/>
          <w:numId w:val="3"/>
        </w:numPr>
        <w:rPr>
          <w:noProof/>
        </w:rPr>
      </w:pPr>
      <w:r>
        <w:lastRenderedPageBreak/>
        <w:t xml:space="preserve">DDX gross findings in shrimp </w:t>
      </w:r>
      <w:r w:rsidR="00CF0996">
        <w:t xml:space="preserve">- </w:t>
      </w:r>
      <w:r>
        <w:t>infectious myonecrosis (IMN) virus</w:t>
      </w:r>
    </w:p>
    <w:p w14:paraId="1D251A46" w14:textId="7596186C" w:rsidR="00CB028E" w:rsidRDefault="004A4BBC" w:rsidP="00CB028E">
      <w:pPr>
        <w:pStyle w:val="ListParagraph"/>
        <w:numPr>
          <w:ilvl w:val="1"/>
          <w:numId w:val="3"/>
        </w:numPr>
        <w:rPr>
          <w:noProof/>
        </w:rPr>
      </w:pPr>
      <w:r>
        <w:t xml:space="preserve">coagulative myonecrosis and </w:t>
      </w:r>
      <w:proofErr w:type="spellStart"/>
      <w:r>
        <w:t>hemocytic</w:t>
      </w:r>
      <w:proofErr w:type="spellEnd"/>
      <w:r>
        <w:t xml:space="preserve"> infiltration in acute phase, fibrosis in chronic stages</w:t>
      </w:r>
    </w:p>
    <w:p w14:paraId="06DE8CAF" w14:textId="1A33D575" w:rsidR="00CF0996" w:rsidRDefault="00E4441B" w:rsidP="00CF0996">
      <w:pPr>
        <w:pStyle w:val="ListParagraph"/>
        <w:numPr>
          <w:ilvl w:val="0"/>
          <w:numId w:val="3"/>
        </w:numPr>
        <w:rPr>
          <w:noProof/>
        </w:rPr>
      </w:pPr>
      <w:r w:rsidRPr="006445BF">
        <w:rPr>
          <w:b/>
          <w:bCs/>
        </w:rPr>
        <w:t>Gram stain</w:t>
      </w:r>
      <w:r>
        <w:t xml:space="preserve"> recommended for diagnosis/visualization of </w:t>
      </w:r>
      <w:proofErr w:type="spellStart"/>
      <w:r>
        <w:t>microsporidiosis</w:t>
      </w:r>
      <w:proofErr w:type="spellEnd"/>
    </w:p>
    <w:p w14:paraId="5190A479" w14:textId="2B745AF4" w:rsidR="006445BF" w:rsidRDefault="006445BF" w:rsidP="006445BF">
      <w:pPr>
        <w:pStyle w:val="ListParagraph"/>
        <w:numPr>
          <w:ilvl w:val="1"/>
          <w:numId w:val="3"/>
        </w:numPr>
        <w:rPr>
          <w:noProof/>
        </w:rPr>
      </w:pPr>
      <w:r>
        <w:t>most effective stain with greatest contrast between organism and surrounding tissue</w:t>
      </w:r>
    </w:p>
    <w:p w14:paraId="36F4DED2" w14:textId="61989827" w:rsidR="00E4441B" w:rsidRDefault="00E4441B" w:rsidP="00CF0996">
      <w:pPr>
        <w:pStyle w:val="ListParagraph"/>
        <w:numPr>
          <w:ilvl w:val="0"/>
          <w:numId w:val="3"/>
        </w:numPr>
        <w:rPr>
          <w:noProof/>
        </w:rPr>
      </w:pPr>
      <w:r>
        <w:t xml:space="preserve">Impression smears recommended for speciation (all spores will be visible vs. </w:t>
      </w:r>
      <w:proofErr w:type="spellStart"/>
      <w:r>
        <w:t>histo</w:t>
      </w:r>
      <w:proofErr w:type="spellEnd"/>
      <w:r>
        <w:t xml:space="preserve"> section)</w:t>
      </w:r>
      <w:r w:rsidRPr="00E4441B">
        <w:rPr>
          <w:noProof/>
        </w:rPr>
        <w:t xml:space="preserve"> </w:t>
      </w:r>
    </w:p>
    <w:p w14:paraId="6B14F9B3" w14:textId="77777777" w:rsidR="00B82016" w:rsidRDefault="00E4441B">
      <w:r>
        <w:rPr>
          <w:noProof/>
        </w:rPr>
        <w:drawing>
          <wp:inline distT="0" distB="0" distL="0" distR="0" wp14:anchorId="1EBC38F2" wp14:editId="35E16B90">
            <wp:extent cx="5448300" cy="512906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24653" t="19965" r="30903" b="27734"/>
                    <a:stretch/>
                  </pic:blipFill>
                  <pic:spPr bwMode="auto">
                    <a:xfrm>
                      <a:off x="0" y="0"/>
                      <a:ext cx="5453404" cy="5133869"/>
                    </a:xfrm>
                    <a:prstGeom prst="rect">
                      <a:avLst/>
                    </a:prstGeom>
                    <a:ln>
                      <a:noFill/>
                    </a:ln>
                    <a:extLst>
                      <a:ext uri="{53640926-AAD7-44D8-BBD7-CCE9431645EC}">
                        <a14:shadowObscured xmlns:a14="http://schemas.microsoft.com/office/drawing/2010/main"/>
                      </a:ext>
                    </a:extLst>
                  </pic:spPr>
                </pic:pic>
              </a:graphicData>
            </a:graphic>
          </wp:inline>
        </w:drawing>
      </w:r>
    </w:p>
    <w:p w14:paraId="5CFF6883" w14:textId="77777777" w:rsidR="00481D1E" w:rsidRDefault="00481D1E"/>
    <w:p w14:paraId="73E44B7C" w14:textId="77777777" w:rsidR="00481D1E" w:rsidRDefault="00481D1E" w:rsidP="00481D1E">
      <w:pPr>
        <w:jc w:val="center"/>
        <w:rPr>
          <w:b/>
        </w:rPr>
      </w:pPr>
      <w:r>
        <w:rPr>
          <w:b/>
        </w:rPr>
        <w:t>2-PHENOXYETHANOL (2-PE) AND TRICAINE METHANESULFONATE (MS-222) IMMERSION ANESTHESIA OF AMERICAN HORSESHOE CRABS (LIMULUS POLYPHEMUS).</w:t>
      </w:r>
    </w:p>
    <w:p w14:paraId="1830C80A" w14:textId="77777777" w:rsidR="00481D1E" w:rsidRDefault="00481D1E" w:rsidP="00481D1E">
      <w:pPr>
        <w:jc w:val="center"/>
      </w:pPr>
      <w:r>
        <w:t>Archibald KE, Scott GN, Bailey KM, Harms CA.</w:t>
      </w:r>
    </w:p>
    <w:p w14:paraId="2276E201" w14:textId="77777777" w:rsidR="00481D1E" w:rsidRDefault="00481D1E" w:rsidP="00481D1E">
      <w:pPr>
        <w:jc w:val="center"/>
      </w:pPr>
      <w:r>
        <w:t xml:space="preserve">J Zoo </w:t>
      </w:r>
      <w:proofErr w:type="spellStart"/>
      <w:r>
        <w:t>Wildl</w:t>
      </w:r>
      <w:proofErr w:type="spellEnd"/>
      <w:r>
        <w:t xml:space="preserve"> Med. 2019 Apr;50(1):96-106</w:t>
      </w:r>
    </w:p>
    <w:p w14:paraId="45C906F2" w14:textId="77777777" w:rsidR="00481D1E" w:rsidRDefault="00481D1E" w:rsidP="00481D1E">
      <w:pPr>
        <w:jc w:val="center"/>
      </w:pPr>
    </w:p>
    <w:p w14:paraId="4C1C4FCC" w14:textId="77777777" w:rsidR="00481D1E" w:rsidRDefault="00481D1E" w:rsidP="00481D1E">
      <w:r>
        <w:t xml:space="preserve">Taxa: Arthropoda (phylum) → </w:t>
      </w:r>
      <w:proofErr w:type="spellStart"/>
      <w:r>
        <w:t>Euchelicerata</w:t>
      </w:r>
      <w:proofErr w:type="spellEnd"/>
      <w:r>
        <w:t xml:space="preserve"> (class) → </w:t>
      </w:r>
      <w:proofErr w:type="spellStart"/>
      <w:r>
        <w:t>Xiphosurida</w:t>
      </w:r>
      <w:proofErr w:type="spellEnd"/>
      <w:r>
        <w:t xml:space="preserve"> (order) → </w:t>
      </w:r>
      <w:proofErr w:type="spellStart"/>
      <w:r>
        <w:t>Limulidae</w:t>
      </w:r>
      <w:proofErr w:type="spellEnd"/>
      <w:r>
        <w:t xml:space="preserve"> (family)</w:t>
      </w:r>
    </w:p>
    <w:p w14:paraId="752E35CC" w14:textId="77777777" w:rsidR="00481D1E" w:rsidRDefault="00481D1E" w:rsidP="00481D1E">
      <w:r>
        <w:rPr>
          <w:b/>
        </w:rPr>
        <w:lastRenderedPageBreak/>
        <w:t xml:space="preserve">Abstract: </w:t>
      </w:r>
      <w:r>
        <w:t xml:space="preserve">Despite extensive literature examining American horseshoe crab physiology, there are comparatively few publications addressing their medical care. Establishing anesthesia protocols for horseshoe crabs is integral to limiting the potential stress and pain associated with invasive procedures and for advancing euthanasia techniques. The objective of this study was to </w:t>
      </w:r>
      <w:r>
        <w:rPr>
          <w:u w:val="single"/>
        </w:rPr>
        <w:t xml:space="preserve">compare the effects of two immersion anesthetics, tricaine </w:t>
      </w:r>
      <w:proofErr w:type="spellStart"/>
      <w:r>
        <w:rPr>
          <w:u w:val="single"/>
        </w:rPr>
        <w:t>methanesulfonate</w:t>
      </w:r>
      <w:proofErr w:type="spellEnd"/>
      <w:r>
        <w:rPr>
          <w:u w:val="single"/>
        </w:rPr>
        <w:t xml:space="preserve"> (MS-222) at 1 g/L (buffered with sodium carbonate) and 2-phenoxyethanol (2-PE) at 2 mL/L, on horseshoe crabs.</w:t>
      </w:r>
      <w:r>
        <w:t xml:space="preserve"> Twenty horseshoe crabs were assigned to one of two anesthetic treatment groups and individually anesthetized in natural seawater. </w:t>
      </w:r>
      <w:r>
        <w:rPr>
          <w:u w:val="single"/>
        </w:rPr>
        <w:t xml:space="preserve">Water quality, cardiac contractility, and hemolymph gas analytes were measured prior to anesthesia and at 30 min </w:t>
      </w:r>
      <w:r>
        <w:t xml:space="preserve">Animals were monitored via heart rate, gilling rate, and sedation score every 5 min until recovered. </w:t>
      </w:r>
      <w:proofErr w:type="spellStart"/>
      <w:r>
        <w:t>Transcarapacial</w:t>
      </w:r>
      <w:proofErr w:type="spellEnd"/>
      <w:r>
        <w:t xml:space="preserve"> ultrasonography was used to obtain heart rate, gilling rate, and percent fractional shortening. Light or surgical anesthesia was produced in 10/10 animals in the 2-PE group and 8/10 animals in the MS-222 group. There was no significant difference in sedation scores, induction time (median 15 min), or recovery time (median 20.5 min). Gilling rate and cardiac contractility decreased during anesthesia, whereas heart rate did not. Hemolymph pH and pO2 were not different among treatment groups or time points. Baseline pCO2 was higher than pCO2 at 30 min for both groups but significantly elevated only in the MS-222 group. This is attributed to increased activity during the handling of awake animals. Invasive blood pressure obtained via cardiac catheterization in two animals was markedly decreased during surgical anesthesia. In conclusion, 2-PE and MS-222 provided effective anesthesia with clinically useful induction and recovery times. 2-PE provided a subjectively more reliable and smoother anesthesia compared to MS-222.</w:t>
      </w:r>
    </w:p>
    <w:p w14:paraId="08D2DA82" w14:textId="77777777" w:rsidR="00481D1E" w:rsidRDefault="00481D1E" w:rsidP="00481D1E"/>
    <w:p w14:paraId="1C156966" w14:textId="77777777" w:rsidR="00481D1E" w:rsidRDefault="00481D1E" w:rsidP="00481D1E">
      <w:pPr>
        <w:rPr>
          <w:b/>
        </w:rPr>
      </w:pPr>
      <w:r>
        <w:rPr>
          <w:b/>
        </w:rPr>
        <w:t>Background:</w:t>
      </w:r>
    </w:p>
    <w:p w14:paraId="7C791C0F" w14:textId="77777777" w:rsidR="00481D1E" w:rsidRDefault="00481D1E" w:rsidP="00481D1E">
      <w:pPr>
        <w:numPr>
          <w:ilvl w:val="0"/>
          <w:numId w:val="4"/>
        </w:numPr>
        <w:spacing w:line="276" w:lineRule="auto"/>
      </w:pPr>
      <w:r>
        <w:t xml:space="preserve">Horseshoe crabs are </w:t>
      </w:r>
      <w:proofErr w:type="spellStart"/>
      <w:r>
        <w:t>osmoconfomers</w:t>
      </w:r>
      <w:proofErr w:type="spellEnd"/>
      <w:r>
        <w:t xml:space="preserve"> (osmolality matches surroundings)</w:t>
      </w:r>
    </w:p>
    <w:p w14:paraId="4D365985" w14:textId="77777777" w:rsidR="00481D1E" w:rsidRDefault="00481D1E" w:rsidP="00481D1E">
      <w:pPr>
        <w:numPr>
          <w:ilvl w:val="0"/>
          <w:numId w:val="4"/>
        </w:numPr>
        <w:spacing w:line="276" w:lineRule="auto"/>
      </w:pPr>
      <w:r>
        <w:t>Horseshoe crabs respond to hypoxia with a decreased blood pressure, heart rate, and gilling rate</w:t>
      </w:r>
    </w:p>
    <w:p w14:paraId="391516B6" w14:textId="77777777" w:rsidR="00481D1E" w:rsidRDefault="00481D1E" w:rsidP="00481D1E">
      <w:pPr>
        <w:numPr>
          <w:ilvl w:val="0"/>
          <w:numId w:val="4"/>
        </w:numPr>
        <w:spacing w:line="276" w:lineRule="auto"/>
      </w:pPr>
      <w:r>
        <w:t>Hemocyanin is the extracellular oxygen-carrying molecule and holds only one oxygen</w:t>
      </w:r>
    </w:p>
    <w:p w14:paraId="79152452" w14:textId="77777777" w:rsidR="00481D1E" w:rsidRDefault="00481D1E" w:rsidP="00481D1E">
      <w:pPr>
        <w:numPr>
          <w:ilvl w:val="0"/>
          <w:numId w:val="4"/>
        </w:numPr>
        <w:spacing w:line="276" w:lineRule="auto"/>
      </w:pPr>
      <w:r>
        <w:t>MS-222 blocks voltage-gated sodium channels and is excreted by the gills</w:t>
      </w:r>
    </w:p>
    <w:p w14:paraId="3B1F66AF" w14:textId="77777777" w:rsidR="00481D1E" w:rsidRDefault="00481D1E" w:rsidP="00481D1E">
      <w:pPr>
        <w:numPr>
          <w:ilvl w:val="0"/>
          <w:numId w:val="4"/>
        </w:numPr>
        <w:spacing w:line="276" w:lineRule="auto"/>
      </w:pPr>
      <w:r>
        <w:t>The mechanism of 2-PE is unknown</w:t>
      </w:r>
    </w:p>
    <w:p w14:paraId="3EB31C05" w14:textId="77777777" w:rsidR="00481D1E" w:rsidRDefault="00481D1E" w:rsidP="00481D1E"/>
    <w:p w14:paraId="7846BA7D" w14:textId="77777777" w:rsidR="00481D1E" w:rsidRDefault="00481D1E" w:rsidP="00481D1E">
      <w:r>
        <w:rPr>
          <w:b/>
        </w:rPr>
        <w:t>Objective</w:t>
      </w:r>
      <w:r>
        <w:t xml:space="preserve">: Compare the effects of two immersion anesthetics, tricaine </w:t>
      </w:r>
      <w:proofErr w:type="spellStart"/>
      <w:r>
        <w:t>methanesulfonate</w:t>
      </w:r>
      <w:proofErr w:type="spellEnd"/>
      <w:r>
        <w:t xml:space="preserve"> (MS-222) at 1 g/L (buffered with sodium carbonate) and 2-phenoxyethanol (2-PE) at 2 mL/L, on horseshoe crabs. </w:t>
      </w:r>
    </w:p>
    <w:p w14:paraId="4C6D42F9" w14:textId="77777777" w:rsidR="00481D1E" w:rsidRDefault="00481D1E" w:rsidP="00481D1E"/>
    <w:p w14:paraId="16AF2426" w14:textId="77777777" w:rsidR="00481D1E" w:rsidRDefault="00481D1E" w:rsidP="00481D1E">
      <w:pPr>
        <w:rPr>
          <w:b/>
        </w:rPr>
      </w:pPr>
      <w:r>
        <w:rPr>
          <w:b/>
        </w:rPr>
        <w:t>Key Points:</w:t>
      </w:r>
    </w:p>
    <w:p w14:paraId="580A898A" w14:textId="77777777" w:rsidR="00481D1E" w:rsidRDefault="00481D1E" w:rsidP="00481D1E">
      <w:pPr>
        <w:numPr>
          <w:ilvl w:val="0"/>
          <w:numId w:val="5"/>
        </w:numPr>
        <w:spacing w:line="276" w:lineRule="auto"/>
      </w:pPr>
      <w:r>
        <w:t>Surgical anesthesia produced in 9/10 2-PE crabs and 7/10 MS-222 crabs</w:t>
      </w:r>
    </w:p>
    <w:p w14:paraId="274B54C4" w14:textId="77777777" w:rsidR="00481D1E" w:rsidRDefault="00481D1E" w:rsidP="00481D1E">
      <w:pPr>
        <w:numPr>
          <w:ilvl w:val="0"/>
          <w:numId w:val="5"/>
        </w:numPr>
        <w:spacing w:line="276" w:lineRule="auto"/>
      </w:pPr>
      <w:r>
        <w:t>Parameters that decreased with both protocols: heart contractility, gilling rate, pCO2, blood pressure</w:t>
      </w:r>
    </w:p>
    <w:p w14:paraId="0FFFB0AF" w14:textId="77777777" w:rsidR="00481D1E" w:rsidRDefault="00481D1E" w:rsidP="00481D1E">
      <w:pPr>
        <w:numPr>
          <w:ilvl w:val="0"/>
          <w:numId w:val="5"/>
        </w:numPr>
        <w:spacing w:line="276" w:lineRule="auto"/>
      </w:pPr>
      <w:r>
        <w:t>Parameters that did not change with both protocols: heart rate, pH, pO2</w:t>
      </w:r>
    </w:p>
    <w:p w14:paraId="5F29D601" w14:textId="77777777" w:rsidR="00481D1E" w:rsidRDefault="00481D1E" w:rsidP="00481D1E">
      <w:pPr>
        <w:numPr>
          <w:ilvl w:val="0"/>
          <w:numId w:val="5"/>
        </w:numPr>
        <w:spacing w:line="276" w:lineRule="auto"/>
      </w:pPr>
    </w:p>
    <w:p w14:paraId="6303D98D" w14:textId="77777777" w:rsidR="00481D1E" w:rsidRDefault="00481D1E" w:rsidP="00481D1E">
      <w:r>
        <w:rPr>
          <w:b/>
        </w:rPr>
        <w:t>Conclusions:</w:t>
      </w:r>
      <w:r>
        <w:t xml:space="preserve"> Immersion in 2-PE or MS-222 produced anesthesia in American HSCs with clinically useful induction and recovery times.</w:t>
      </w:r>
    </w:p>
    <w:p w14:paraId="5F030B2E" w14:textId="77777777" w:rsidR="00481D1E" w:rsidRDefault="00481D1E" w:rsidP="00481D1E">
      <w:pPr>
        <w:rPr>
          <w:rFonts w:ascii="Calibri" w:eastAsia="Calibri" w:hAnsi="Calibri" w:cs="Calibri"/>
          <w:b/>
          <w:sz w:val="20"/>
          <w:szCs w:val="20"/>
        </w:rPr>
      </w:pPr>
      <w:r>
        <w:rPr>
          <w:rFonts w:ascii="Calibri" w:eastAsia="Calibri" w:hAnsi="Calibri" w:cs="Calibri"/>
          <w:b/>
          <w:sz w:val="20"/>
          <w:szCs w:val="20"/>
        </w:rPr>
        <w:lastRenderedPageBreak/>
        <w:t>Histologic Findings in Captive American Horseshoe Crabs (</w:t>
      </w:r>
      <w:r>
        <w:rPr>
          <w:rFonts w:ascii="Calibri" w:eastAsia="Calibri" w:hAnsi="Calibri" w:cs="Calibri"/>
          <w:b/>
          <w:i/>
          <w:sz w:val="20"/>
          <w:szCs w:val="20"/>
        </w:rPr>
        <w:t xml:space="preserve">Limulus </w:t>
      </w:r>
      <w:proofErr w:type="spellStart"/>
      <w:r>
        <w:rPr>
          <w:rFonts w:ascii="Calibri" w:eastAsia="Calibri" w:hAnsi="Calibri" w:cs="Calibri"/>
          <w:b/>
          <w:i/>
          <w:sz w:val="20"/>
          <w:szCs w:val="20"/>
        </w:rPr>
        <w:t>polyphemus</w:t>
      </w:r>
      <w:proofErr w:type="spellEnd"/>
      <w:r>
        <w:rPr>
          <w:rFonts w:ascii="Calibri" w:eastAsia="Calibri" w:hAnsi="Calibri" w:cs="Calibri"/>
          <w:b/>
          <w:sz w:val="20"/>
          <w:szCs w:val="20"/>
        </w:rPr>
        <w:t>)</w:t>
      </w:r>
    </w:p>
    <w:p w14:paraId="12D0B9E2" w14:textId="77777777" w:rsidR="00481D1E" w:rsidRDefault="00481D1E" w:rsidP="00481D1E">
      <w:pPr>
        <w:rPr>
          <w:rFonts w:ascii="Calibri" w:eastAsia="Calibri" w:hAnsi="Calibri" w:cs="Calibri"/>
          <w:sz w:val="20"/>
          <w:szCs w:val="20"/>
        </w:rPr>
      </w:pPr>
      <w:r>
        <w:rPr>
          <w:rFonts w:ascii="Calibri" w:eastAsia="Calibri" w:hAnsi="Calibri" w:cs="Calibri"/>
          <w:sz w:val="20"/>
          <w:szCs w:val="20"/>
        </w:rPr>
        <w:t xml:space="preserve">Elise E. B. </w:t>
      </w:r>
      <w:proofErr w:type="spellStart"/>
      <w:r>
        <w:rPr>
          <w:rFonts w:ascii="Calibri" w:eastAsia="Calibri" w:hAnsi="Calibri" w:cs="Calibri"/>
          <w:sz w:val="20"/>
          <w:szCs w:val="20"/>
        </w:rPr>
        <w:t>LaDouceur</w:t>
      </w:r>
      <w:proofErr w:type="spellEnd"/>
      <w:r>
        <w:rPr>
          <w:rFonts w:ascii="Calibri" w:eastAsia="Calibri" w:hAnsi="Calibri" w:cs="Calibri"/>
          <w:sz w:val="20"/>
          <w:szCs w:val="20"/>
        </w:rPr>
        <w:t xml:space="preserve">, Lisa </w:t>
      </w:r>
      <w:proofErr w:type="spellStart"/>
      <w:r>
        <w:rPr>
          <w:rFonts w:ascii="Calibri" w:eastAsia="Calibri" w:hAnsi="Calibri" w:cs="Calibri"/>
          <w:sz w:val="20"/>
          <w:szCs w:val="20"/>
        </w:rPr>
        <w:t>Mangus</w:t>
      </w:r>
      <w:proofErr w:type="spellEnd"/>
      <w:r>
        <w:rPr>
          <w:rFonts w:ascii="Calibri" w:eastAsia="Calibri" w:hAnsi="Calibri" w:cs="Calibri"/>
          <w:sz w:val="20"/>
          <w:szCs w:val="20"/>
        </w:rPr>
        <w:t xml:space="preserve">, Michael M. Garner, and Andrew N. </w:t>
      </w:r>
      <w:proofErr w:type="spellStart"/>
      <w:r>
        <w:rPr>
          <w:rFonts w:ascii="Calibri" w:eastAsia="Calibri" w:hAnsi="Calibri" w:cs="Calibri"/>
          <w:sz w:val="20"/>
          <w:szCs w:val="20"/>
        </w:rPr>
        <w:t>Cartoceti</w:t>
      </w:r>
      <w:proofErr w:type="spellEnd"/>
    </w:p>
    <w:p w14:paraId="6C77C23B" w14:textId="77777777" w:rsidR="00481D1E" w:rsidRDefault="00481D1E" w:rsidP="00481D1E">
      <w:pPr>
        <w:rPr>
          <w:rFonts w:ascii="Calibri" w:eastAsia="Calibri" w:hAnsi="Calibri" w:cs="Calibri"/>
          <w:sz w:val="20"/>
          <w:szCs w:val="20"/>
        </w:rPr>
      </w:pPr>
      <w:r>
        <w:rPr>
          <w:rFonts w:ascii="Calibri" w:eastAsia="Calibri" w:hAnsi="Calibri" w:cs="Calibri"/>
          <w:sz w:val="20"/>
          <w:szCs w:val="20"/>
        </w:rPr>
        <w:t>Veterinary Pathology 2019;56(6):932-939</w:t>
      </w:r>
    </w:p>
    <w:p w14:paraId="496334F0" w14:textId="77777777" w:rsidR="00481D1E" w:rsidRDefault="00481D1E" w:rsidP="00481D1E">
      <w:pPr>
        <w:rPr>
          <w:rFonts w:ascii="Calibri" w:eastAsia="Calibri" w:hAnsi="Calibri" w:cs="Calibri"/>
          <w:sz w:val="20"/>
          <w:szCs w:val="20"/>
        </w:rPr>
      </w:pPr>
    </w:p>
    <w:p w14:paraId="7DF2BD6A" w14:textId="77777777" w:rsidR="00481D1E" w:rsidRDefault="00481D1E" w:rsidP="00481D1E">
      <w:pPr>
        <w:rPr>
          <w:rFonts w:ascii="Calibri" w:eastAsia="Calibri" w:hAnsi="Calibri" w:cs="Calibri"/>
          <w:sz w:val="20"/>
          <w:szCs w:val="20"/>
        </w:rPr>
      </w:pPr>
      <w:r>
        <w:rPr>
          <w:rFonts w:ascii="Calibri" w:eastAsia="Calibri" w:hAnsi="Calibri" w:cs="Calibri"/>
          <w:sz w:val="20"/>
          <w:szCs w:val="20"/>
        </w:rPr>
        <w:t xml:space="preserve">Abstract: </w:t>
      </w:r>
      <w:r>
        <w:rPr>
          <w:rFonts w:ascii="Calibri" w:eastAsia="Calibri" w:hAnsi="Calibri" w:cs="Calibri"/>
          <w:b/>
          <w:sz w:val="20"/>
          <w:szCs w:val="20"/>
        </w:rPr>
        <w:t xml:space="preserve">Histopathology of 61 captive American horseshoe crabs (HSCs; Limulus </w:t>
      </w:r>
      <w:proofErr w:type="spellStart"/>
      <w:r>
        <w:rPr>
          <w:rFonts w:ascii="Calibri" w:eastAsia="Calibri" w:hAnsi="Calibri" w:cs="Calibri"/>
          <w:b/>
          <w:sz w:val="20"/>
          <w:szCs w:val="20"/>
        </w:rPr>
        <w:t>polyphemus</w:t>
      </w:r>
      <w:proofErr w:type="spellEnd"/>
      <w:r>
        <w:rPr>
          <w:rFonts w:ascii="Calibri" w:eastAsia="Calibri" w:hAnsi="Calibri" w:cs="Calibri"/>
          <w:b/>
          <w:sz w:val="20"/>
          <w:szCs w:val="20"/>
        </w:rPr>
        <w:t xml:space="preserve">) is reviewed. HSC organs evaluated histologically included body wall (chitin, epidermis, dermis, and skeletal muscle), hepatopancreas, gut, gonads, book gills, eyes, heart, brain, and </w:t>
      </w:r>
      <w:proofErr w:type="spellStart"/>
      <w:r>
        <w:rPr>
          <w:rFonts w:ascii="Calibri" w:eastAsia="Calibri" w:hAnsi="Calibri" w:cs="Calibri"/>
          <w:b/>
          <w:sz w:val="20"/>
          <w:szCs w:val="20"/>
        </w:rPr>
        <w:t>coxal</w:t>
      </w:r>
      <w:proofErr w:type="spellEnd"/>
      <w:r>
        <w:rPr>
          <w:rFonts w:ascii="Calibri" w:eastAsia="Calibri" w:hAnsi="Calibri" w:cs="Calibri"/>
          <w:b/>
          <w:sz w:val="20"/>
          <w:szCs w:val="20"/>
        </w:rPr>
        <w:t xml:space="preserve"> gland.</w:t>
      </w:r>
      <w:r>
        <w:rPr>
          <w:rFonts w:ascii="Calibri" w:eastAsia="Calibri" w:hAnsi="Calibri" w:cs="Calibri"/>
          <w:sz w:val="20"/>
          <w:szCs w:val="20"/>
        </w:rPr>
        <w:t xml:space="preserve"> In descending order, lesions were most frequently identified in compound eye, body wall, book gills, hepatopancreas, chitinous gut, </w:t>
      </w:r>
      <w:proofErr w:type="spellStart"/>
      <w:r>
        <w:rPr>
          <w:rFonts w:ascii="Calibri" w:eastAsia="Calibri" w:hAnsi="Calibri" w:cs="Calibri"/>
          <w:sz w:val="20"/>
          <w:szCs w:val="20"/>
        </w:rPr>
        <w:t>nonchitinous</w:t>
      </w:r>
      <w:proofErr w:type="spellEnd"/>
      <w:r>
        <w:rPr>
          <w:rFonts w:ascii="Calibri" w:eastAsia="Calibri" w:hAnsi="Calibri" w:cs="Calibri"/>
          <w:sz w:val="20"/>
          <w:szCs w:val="20"/>
        </w:rPr>
        <w:t xml:space="preserve"> gut, heart, and brain; lesions were not observed in </w:t>
      </w:r>
      <w:proofErr w:type="spellStart"/>
      <w:r>
        <w:rPr>
          <w:rFonts w:ascii="Calibri" w:eastAsia="Calibri" w:hAnsi="Calibri" w:cs="Calibri"/>
          <w:sz w:val="20"/>
          <w:szCs w:val="20"/>
        </w:rPr>
        <w:t>coxal</w:t>
      </w:r>
      <w:proofErr w:type="spellEnd"/>
      <w:r>
        <w:rPr>
          <w:rFonts w:ascii="Calibri" w:eastAsia="Calibri" w:hAnsi="Calibri" w:cs="Calibri"/>
          <w:sz w:val="20"/>
          <w:szCs w:val="20"/>
        </w:rPr>
        <w:t xml:space="preserve"> gland or gonads. Hemocytes (also called amoebocytes) surrounded infectious agents and occluded ulcers. Large hemocyte aggregates had a central eosinophilic coagulum (</w:t>
      </w:r>
      <w:proofErr w:type="spellStart"/>
      <w:r>
        <w:rPr>
          <w:rFonts w:ascii="Calibri" w:eastAsia="Calibri" w:hAnsi="Calibri" w:cs="Calibri"/>
          <w:sz w:val="20"/>
          <w:szCs w:val="20"/>
        </w:rPr>
        <w:t>ie</w:t>
      </w:r>
      <w:proofErr w:type="spellEnd"/>
      <w:r>
        <w:rPr>
          <w:rFonts w:ascii="Calibri" w:eastAsia="Calibri" w:hAnsi="Calibri" w:cs="Calibri"/>
          <w:sz w:val="20"/>
          <w:szCs w:val="20"/>
        </w:rPr>
        <w:t xml:space="preserve">, hemocyte coagulum). Cutaneous ulceration (34/60 cases), </w:t>
      </w:r>
      <w:proofErr w:type="spellStart"/>
      <w:r>
        <w:rPr>
          <w:rFonts w:ascii="Calibri" w:eastAsia="Calibri" w:hAnsi="Calibri" w:cs="Calibri"/>
          <w:sz w:val="20"/>
          <w:szCs w:val="20"/>
        </w:rPr>
        <w:t>branchitis</w:t>
      </w:r>
      <w:proofErr w:type="spellEnd"/>
      <w:r>
        <w:rPr>
          <w:rFonts w:ascii="Calibri" w:eastAsia="Calibri" w:hAnsi="Calibri" w:cs="Calibri"/>
          <w:sz w:val="20"/>
          <w:szCs w:val="20"/>
        </w:rPr>
        <w:t xml:space="preserve"> (29/48 cases), and ophthalmitis (17/20 cases) were common lesions and consistently associated with fungi, which were invasive into subjacent tissues, and/or bacteria, which were usually superficial. Fungal culture was performed in 3 cases and isolated Fusarium spp., although fungal morphology varied and multiple fungal species may have been present. Presumptive green algae were associated with ulceration in 1 case with minimal to no inflammation. Presumptive cyanobacteria were identified within a biofilm overlying the gills in 4 of 48 cases and were not invasive. Multifocal, random </w:t>
      </w:r>
      <w:proofErr w:type="spellStart"/>
      <w:r>
        <w:rPr>
          <w:rFonts w:ascii="Calibri" w:eastAsia="Calibri" w:hAnsi="Calibri" w:cs="Calibri"/>
          <w:sz w:val="20"/>
          <w:szCs w:val="20"/>
        </w:rPr>
        <w:t>hepatopancreatitis</w:t>
      </w:r>
      <w:proofErr w:type="spellEnd"/>
      <w:r>
        <w:rPr>
          <w:rFonts w:ascii="Calibri" w:eastAsia="Calibri" w:hAnsi="Calibri" w:cs="Calibri"/>
          <w:sz w:val="20"/>
          <w:szCs w:val="20"/>
        </w:rPr>
        <w:t xml:space="preserve"> was identified in 16 of 57 cases, 10 of which were associated with bacteria. Metacercarial cysts were identified in 25 of 61 cases and associated with minimal to no inflammation. Depleted eosinophilic globules in hepatopancreatic interstitial cells were interpreted as decreased nutritional status in 12 of 57 cases.</w:t>
      </w:r>
    </w:p>
    <w:p w14:paraId="645990BA" w14:textId="77777777" w:rsidR="00481D1E" w:rsidRDefault="00481D1E" w:rsidP="00481D1E">
      <w:pPr>
        <w:rPr>
          <w:rFonts w:ascii="Calibri" w:eastAsia="Calibri" w:hAnsi="Calibri" w:cs="Calibri"/>
          <w:sz w:val="20"/>
          <w:szCs w:val="20"/>
        </w:rPr>
      </w:pPr>
    </w:p>
    <w:p w14:paraId="5B122E46" w14:textId="77777777" w:rsidR="00481D1E" w:rsidRDefault="00481D1E" w:rsidP="00481D1E">
      <w:pPr>
        <w:rPr>
          <w:rFonts w:ascii="Calibri" w:eastAsia="Calibri" w:hAnsi="Calibri" w:cs="Calibri"/>
          <w:sz w:val="20"/>
          <w:szCs w:val="20"/>
        </w:rPr>
      </w:pPr>
      <w:r>
        <w:rPr>
          <w:rFonts w:ascii="Calibri" w:eastAsia="Calibri" w:hAnsi="Calibri" w:cs="Calibri"/>
          <w:sz w:val="20"/>
          <w:szCs w:val="20"/>
        </w:rPr>
        <w:t>Background</w:t>
      </w:r>
    </w:p>
    <w:p w14:paraId="63861330" w14:textId="77777777" w:rsidR="00481D1E" w:rsidRDefault="00481D1E" w:rsidP="00481D1E">
      <w:pPr>
        <w:numPr>
          <w:ilvl w:val="0"/>
          <w:numId w:val="8"/>
        </w:numPr>
        <w:spacing w:line="276" w:lineRule="auto"/>
        <w:rPr>
          <w:rFonts w:ascii="Calibri" w:eastAsia="Calibri" w:hAnsi="Calibri" w:cs="Calibri"/>
          <w:sz w:val="20"/>
          <w:szCs w:val="20"/>
        </w:rPr>
      </w:pPr>
      <w:r>
        <w:rPr>
          <w:rFonts w:ascii="Calibri" w:eastAsia="Calibri" w:hAnsi="Calibri" w:cs="Calibri"/>
          <w:sz w:val="20"/>
          <w:szCs w:val="20"/>
        </w:rPr>
        <w:t>Marine invertebrates, habitat east coast North America, migrate to deep waters in winter and shallow waters to spawn in late spring/early summer</w:t>
      </w:r>
    </w:p>
    <w:p w14:paraId="299AF786" w14:textId="77777777" w:rsidR="00481D1E" w:rsidRDefault="00481D1E" w:rsidP="00481D1E">
      <w:pPr>
        <w:numPr>
          <w:ilvl w:val="0"/>
          <w:numId w:val="8"/>
        </w:numPr>
        <w:spacing w:line="276" w:lineRule="auto"/>
        <w:rPr>
          <w:rFonts w:ascii="Calibri" w:eastAsia="Calibri" w:hAnsi="Calibri" w:cs="Calibri"/>
          <w:sz w:val="20"/>
          <w:szCs w:val="20"/>
        </w:rPr>
      </w:pPr>
      <w:r>
        <w:rPr>
          <w:rFonts w:ascii="Calibri" w:eastAsia="Calibri" w:hAnsi="Calibri" w:cs="Calibri"/>
          <w:sz w:val="20"/>
          <w:szCs w:val="20"/>
        </w:rPr>
        <w:t xml:space="preserve">Used in biopharmaceuticals for endotoxin detecting enzyme </w:t>
      </w:r>
      <w:proofErr w:type="spellStart"/>
      <w:r>
        <w:rPr>
          <w:rFonts w:ascii="Calibri" w:eastAsia="Calibri" w:hAnsi="Calibri" w:cs="Calibri"/>
          <w:sz w:val="20"/>
          <w:szCs w:val="20"/>
        </w:rPr>
        <w:t>limulase</w:t>
      </w:r>
      <w:proofErr w:type="spellEnd"/>
      <w:r>
        <w:rPr>
          <w:rFonts w:ascii="Calibri" w:eastAsia="Calibri" w:hAnsi="Calibri" w:cs="Calibri"/>
          <w:sz w:val="20"/>
          <w:szCs w:val="20"/>
        </w:rPr>
        <w:t xml:space="preserve"> </w:t>
      </w:r>
      <w:proofErr w:type="spellStart"/>
      <w:r>
        <w:rPr>
          <w:rFonts w:ascii="Calibri" w:eastAsia="Calibri" w:hAnsi="Calibri" w:cs="Calibri"/>
          <w:sz w:val="20"/>
          <w:szCs w:val="20"/>
        </w:rPr>
        <w:t>amebocyte</w:t>
      </w:r>
      <w:proofErr w:type="spellEnd"/>
      <w:r>
        <w:rPr>
          <w:rFonts w:ascii="Calibri" w:eastAsia="Calibri" w:hAnsi="Calibri" w:cs="Calibri"/>
          <w:sz w:val="20"/>
          <w:szCs w:val="20"/>
        </w:rPr>
        <w:t xml:space="preserve"> lysate (LAL), in hemolymph collected from wild - causes 8-30% mortality.</w:t>
      </w:r>
    </w:p>
    <w:p w14:paraId="3916966A" w14:textId="77777777" w:rsidR="00481D1E" w:rsidRDefault="00481D1E" w:rsidP="00481D1E">
      <w:pPr>
        <w:numPr>
          <w:ilvl w:val="0"/>
          <w:numId w:val="8"/>
        </w:numPr>
        <w:spacing w:line="276" w:lineRule="auto"/>
        <w:rPr>
          <w:rFonts w:ascii="Calibri" w:eastAsia="Calibri" w:hAnsi="Calibri" w:cs="Calibri"/>
          <w:sz w:val="20"/>
          <w:szCs w:val="20"/>
        </w:rPr>
      </w:pPr>
      <w:r>
        <w:rPr>
          <w:rFonts w:ascii="Calibri" w:eastAsia="Calibri" w:hAnsi="Calibri" w:cs="Calibri"/>
          <w:sz w:val="20"/>
          <w:szCs w:val="20"/>
        </w:rPr>
        <w:t xml:space="preserve">Inflammatory response: hemocyte coagulum (hemocytes, coagulin, necrotic cellular debris, rarely plump spindle cells in </w:t>
      </w:r>
      <w:proofErr w:type="spellStart"/>
      <w:r>
        <w:rPr>
          <w:rFonts w:ascii="Calibri" w:eastAsia="Calibri" w:hAnsi="Calibri" w:cs="Calibri"/>
          <w:sz w:val="20"/>
          <w:szCs w:val="20"/>
        </w:rPr>
        <w:t>branchitis</w:t>
      </w:r>
      <w:proofErr w:type="spellEnd"/>
      <w:r>
        <w:rPr>
          <w:rFonts w:ascii="Calibri" w:eastAsia="Calibri" w:hAnsi="Calibri" w:cs="Calibri"/>
          <w:sz w:val="20"/>
          <w:szCs w:val="20"/>
        </w:rPr>
        <w:t>)</w:t>
      </w:r>
    </w:p>
    <w:p w14:paraId="329525F8" w14:textId="77777777" w:rsidR="00481D1E" w:rsidRDefault="00481D1E" w:rsidP="00481D1E">
      <w:pPr>
        <w:rPr>
          <w:rFonts w:ascii="Calibri" w:eastAsia="Calibri" w:hAnsi="Calibri" w:cs="Calibri"/>
          <w:sz w:val="20"/>
          <w:szCs w:val="20"/>
        </w:rPr>
      </w:pPr>
    </w:p>
    <w:p w14:paraId="1EDE5D2F" w14:textId="77777777" w:rsidR="00481D1E" w:rsidRDefault="00481D1E" w:rsidP="00481D1E">
      <w:pPr>
        <w:rPr>
          <w:rFonts w:ascii="Calibri" w:eastAsia="Calibri" w:hAnsi="Calibri" w:cs="Calibri"/>
          <w:sz w:val="20"/>
          <w:szCs w:val="20"/>
        </w:rPr>
      </w:pPr>
      <w:r>
        <w:rPr>
          <w:rFonts w:ascii="Calibri" w:eastAsia="Calibri" w:hAnsi="Calibri" w:cs="Calibri"/>
          <w:sz w:val="20"/>
          <w:szCs w:val="20"/>
        </w:rPr>
        <w:t>Key points</w:t>
      </w:r>
    </w:p>
    <w:p w14:paraId="53A98F7E" w14:textId="77777777" w:rsidR="00481D1E" w:rsidRDefault="00481D1E" w:rsidP="00481D1E">
      <w:pPr>
        <w:numPr>
          <w:ilvl w:val="0"/>
          <w:numId w:val="10"/>
        </w:numPr>
        <w:spacing w:line="276" w:lineRule="auto"/>
        <w:rPr>
          <w:rFonts w:ascii="Calibri" w:eastAsia="Calibri" w:hAnsi="Calibri" w:cs="Calibri"/>
          <w:sz w:val="20"/>
          <w:szCs w:val="20"/>
        </w:rPr>
      </w:pPr>
      <w:r>
        <w:rPr>
          <w:rFonts w:ascii="Calibri" w:eastAsia="Calibri" w:hAnsi="Calibri" w:cs="Calibri"/>
          <w:sz w:val="20"/>
          <w:szCs w:val="20"/>
        </w:rPr>
        <w:t>Retrospective, reviewed path reports, slides</w:t>
      </w:r>
    </w:p>
    <w:p w14:paraId="2AF2B030" w14:textId="77777777" w:rsidR="00481D1E" w:rsidRDefault="00481D1E" w:rsidP="00481D1E">
      <w:pPr>
        <w:numPr>
          <w:ilvl w:val="0"/>
          <w:numId w:val="10"/>
        </w:numPr>
        <w:spacing w:line="276" w:lineRule="auto"/>
        <w:rPr>
          <w:rFonts w:ascii="Calibri" w:eastAsia="Calibri" w:hAnsi="Calibri" w:cs="Calibri"/>
          <w:sz w:val="20"/>
          <w:szCs w:val="20"/>
        </w:rPr>
      </w:pPr>
      <w:r>
        <w:rPr>
          <w:rFonts w:ascii="Calibri" w:eastAsia="Calibri" w:hAnsi="Calibri" w:cs="Calibri"/>
          <w:sz w:val="20"/>
          <w:szCs w:val="20"/>
        </w:rPr>
        <w:t>Most common organs with lesions: compound eye and body wall (external organs, could be sampling bias)</w:t>
      </w:r>
    </w:p>
    <w:p w14:paraId="3B5DEBFE" w14:textId="77777777" w:rsidR="00481D1E" w:rsidRDefault="00481D1E" w:rsidP="00481D1E">
      <w:pPr>
        <w:numPr>
          <w:ilvl w:val="0"/>
          <w:numId w:val="10"/>
        </w:numPr>
        <w:spacing w:line="276" w:lineRule="auto"/>
        <w:rPr>
          <w:rFonts w:ascii="Calibri" w:eastAsia="Calibri" w:hAnsi="Calibri" w:cs="Calibri"/>
          <w:sz w:val="20"/>
          <w:szCs w:val="20"/>
        </w:rPr>
      </w:pPr>
      <w:r>
        <w:rPr>
          <w:rFonts w:ascii="Calibri" w:eastAsia="Calibri" w:hAnsi="Calibri" w:cs="Calibri"/>
          <w:sz w:val="20"/>
          <w:szCs w:val="20"/>
        </w:rPr>
        <w:t>Most common infection: bacteria (G- rods most common)</w:t>
      </w:r>
    </w:p>
    <w:p w14:paraId="1D333EDA" w14:textId="77777777" w:rsidR="00481D1E" w:rsidRDefault="00481D1E" w:rsidP="00481D1E">
      <w:pPr>
        <w:numPr>
          <w:ilvl w:val="0"/>
          <w:numId w:val="10"/>
        </w:numPr>
        <w:spacing w:line="276" w:lineRule="auto"/>
        <w:rPr>
          <w:rFonts w:ascii="Calibri" w:eastAsia="Calibri" w:hAnsi="Calibri" w:cs="Calibri"/>
          <w:sz w:val="20"/>
          <w:szCs w:val="20"/>
        </w:rPr>
      </w:pPr>
      <w:r>
        <w:rPr>
          <w:rFonts w:ascii="Calibri" w:eastAsia="Calibri" w:hAnsi="Calibri" w:cs="Calibri"/>
          <w:sz w:val="20"/>
          <w:szCs w:val="20"/>
        </w:rPr>
        <w:t>Fungal lesions appeared to be invasion in from external body wall or gill surface</w:t>
      </w:r>
    </w:p>
    <w:p w14:paraId="51FEE0ED" w14:textId="77777777" w:rsidR="00481D1E" w:rsidRDefault="00481D1E" w:rsidP="00481D1E">
      <w:pPr>
        <w:numPr>
          <w:ilvl w:val="1"/>
          <w:numId w:val="10"/>
        </w:numPr>
        <w:spacing w:line="276" w:lineRule="auto"/>
        <w:rPr>
          <w:rFonts w:ascii="Calibri" w:eastAsia="Calibri" w:hAnsi="Calibri" w:cs="Calibri"/>
          <w:sz w:val="20"/>
          <w:szCs w:val="20"/>
        </w:rPr>
      </w:pPr>
      <w:r>
        <w:rPr>
          <w:rFonts w:ascii="Calibri" w:eastAsia="Calibri" w:hAnsi="Calibri" w:cs="Calibri"/>
          <w:sz w:val="20"/>
          <w:szCs w:val="20"/>
        </w:rPr>
        <w:t>Fungal: filamentous, septate hyphae, branching at acute angles</w:t>
      </w:r>
    </w:p>
    <w:p w14:paraId="3A07B2A0" w14:textId="77777777" w:rsidR="00481D1E" w:rsidRDefault="00481D1E" w:rsidP="00481D1E">
      <w:pPr>
        <w:numPr>
          <w:ilvl w:val="0"/>
          <w:numId w:val="10"/>
        </w:numPr>
        <w:spacing w:line="276" w:lineRule="auto"/>
        <w:rPr>
          <w:rFonts w:ascii="Calibri" w:eastAsia="Calibri" w:hAnsi="Calibri" w:cs="Calibri"/>
          <w:sz w:val="20"/>
          <w:szCs w:val="20"/>
        </w:rPr>
      </w:pPr>
      <w:r>
        <w:rPr>
          <w:rFonts w:ascii="Calibri" w:eastAsia="Calibri" w:hAnsi="Calibri" w:cs="Calibri"/>
          <w:sz w:val="20"/>
          <w:szCs w:val="20"/>
        </w:rPr>
        <w:t xml:space="preserve">Bacteria found in small foci throughout internal organs suggesting </w:t>
      </w:r>
      <w:proofErr w:type="spellStart"/>
      <w:r>
        <w:rPr>
          <w:rFonts w:ascii="Calibri" w:eastAsia="Calibri" w:hAnsi="Calibri" w:cs="Calibri"/>
          <w:sz w:val="20"/>
          <w:szCs w:val="20"/>
        </w:rPr>
        <w:t>hemolymphatic</w:t>
      </w:r>
      <w:proofErr w:type="spellEnd"/>
      <w:r>
        <w:rPr>
          <w:rFonts w:ascii="Calibri" w:eastAsia="Calibri" w:hAnsi="Calibri" w:cs="Calibri"/>
          <w:sz w:val="20"/>
          <w:szCs w:val="20"/>
        </w:rPr>
        <w:t xml:space="preserve"> spread</w:t>
      </w:r>
    </w:p>
    <w:p w14:paraId="545C6563" w14:textId="77777777" w:rsidR="00481D1E" w:rsidRDefault="00481D1E" w:rsidP="00481D1E">
      <w:pPr>
        <w:numPr>
          <w:ilvl w:val="0"/>
          <w:numId w:val="10"/>
        </w:numPr>
        <w:spacing w:line="276" w:lineRule="auto"/>
        <w:rPr>
          <w:rFonts w:ascii="Calibri" w:eastAsia="Calibri" w:hAnsi="Calibri" w:cs="Calibri"/>
          <w:sz w:val="20"/>
          <w:szCs w:val="20"/>
        </w:rPr>
      </w:pPr>
      <w:r>
        <w:rPr>
          <w:rFonts w:ascii="Calibri" w:eastAsia="Calibri" w:hAnsi="Calibri" w:cs="Calibri"/>
          <w:sz w:val="20"/>
          <w:szCs w:val="20"/>
        </w:rPr>
        <w:t xml:space="preserve">Encysted parasites, </w:t>
      </w:r>
      <w:proofErr w:type="spellStart"/>
      <w:r>
        <w:rPr>
          <w:rFonts w:ascii="Calibri" w:eastAsia="Calibri" w:hAnsi="Calibri" w:cs="Calibri"/>
          <w:sz w:val="20"/>
          <w:szCs w:val="20"/>
        </w:rPr>
        <w:t>metacercariae</w:t>
      </w:r>
      <w:proofErr w:type="spellEnd"/>
      <w:r>
        <w:rPr>
          <w:rFonts w:ascii="Calibri" w:eastAsia="Calibri" w:hAnsi="Calibri" w:cs="Calibri"/>
          <w:sz w:val="20"/>
          <w:szCs w:val="20"/>
        </w:rPr>
        <w:t xml:space="preserve"> likely </w:t>
      </w:r>
      <w:proofErr w:type="spellStart"/>
      <w:r>
        <w:rPr>
          <w:rFonts w:ascii="Calibri" w:eastAsia="Calibri" w:hAnsi="Calibri" w:cs="Calibri"/>
          <w:i/>
          <w:sz w:val="20"/>
          <w:szCs w:val="20"/>
        </w:rPr>
        <w:t>Microphallus</w:t>
      </w:r>
      <w:proofErr w:type="spellEnd"/>
      <w:r>
        <w:rPr>
          <w:rFonts w:ascii="Calibri" w:eastAsia="Calibri" w:hAnsi="Calibri" w:cs="Calibri"/>
          <w:i/>
          <w:sz w:val="20"/>
          <w:szCs w:val="20"/>
        </w:rPr>
        <w:t xml:space="preserve"> limulus</w:t>
      </w:r>
      <w:r>
        <w:rPr>
          <w:rFonts w:ascii="Calibri" w:eastAsia="Calibri" w:hAnsi="Calibri" w:cs="Calibri"/>
          <w:sz w:val="20"/>
          <w:szCs w:val="20"/>
        </w:rPr>
        <w:t xml:space="preserve"> - in almost every organ including brain, </w:t>
      </w:r>
      <w:proofErr w:type="gramStart"/>
      <w:r>
        <w:rPr>
          <w:rFonts w:ascii="Calibri" w:eastAsia="Calibri" w:hAnsi="Calibri" w:cs="Calibri"/>
          <w:sz w:val="20"/>
          <w:szCs w:val="20"/>
        </w:rPr>
        <w:t>variable  inflammatory</w:t>
      </w:r>
      <w:proofErr w:type="gramEnd"/>
      <w:r>
        <w:rPr>
          <w:rFonts w:ascii="Calibri" w:eastAsia="Calibri" w:hAnsi="Calibri" w:cs="Calibri"/>
          <w:sz w:val="20"/>
          <w:szCs w:val="20"/>
        </w:rPr>
        <w:t xml:space="preserve"> response</w:t>
      </w:r>
    </w:p>
    <w:p w14:paraId="77AA68D1" w14:textId="77777777" w:rsidR="00481D1E" w:rsidRDefault="00481D1E" w:rsidP="00481D1E">
      <w:pPr>
        <w:numPr>
          <w:ilvl w:val="0"/>
          <w:numId w:val="10"/>
        </w:numPr>
        <w:spacing w:line="276" w:lineRule="auto"/>
        <w:rPr>
          <w:rFonts w:ascii="Calibri" w:eastAsia="Calibri" w:hAnsi="Calibri" w:cs="Calibri"/>
          <w:sz w:val="20"/>
          <w:szCs w:val="20"/>
        </w:rPr>
      </w:pPr>
      <w:r>
        <w:rPr>
          <w:rFonts w:ascii="Calibri" w:eastAsia="Calibri" w:hAnsi="Calibri" w:cs="Calibri"/>
          <w:sz w:val="20"/>
          <w:szCs w:val="20"/>
        </w:rPr>
        <w:t xml:space="preserve">Algae: (green or blue-green) highly pleomorphic, occasional </w:t>
      </w:r>
      <w:proofErr w:type="spellStart"/>
      <w:r>
        <w:rPr>
          <w:rFonts w:ascii="Calibri" w:eastAsia="Calibri" w:hAnsi="Calibri" w:cs="Calibri"/>
          <w:sz w:val="20"/>
          <w:szCs w:val="20"/>
        </w:rPr>
        <w:t>septation</w:t>
      </w:r>
      <w:proofErr w:type="spellEnd"/>
      <w:r>
        <w:rPr>
          <w:rFonts w:ascii="Calibri" w:eastAsia="Calibri" w:hAnsi="Calibri" w:cs="Calibri"/>
          <w:sz w:val="20"/>
          <w:szCs w:val="20"/>
        </w:rPr>
        <w:t>, budding, internal structure</w:t>
      </w:r>
    </w:p>
    <w:p w14:paraId="5F8422AB" w14:textId="77777777" w:rsidR="00481D1E" w:rsidRDefault="00481D1E" w:rsidP="00481D1E">
      <w:pPr>
        <w:numPr>
          <w:ilvl w:val="0"/>
          <w:numId w:val="10"/>
        </w:numPr>
        <w:spacing w:line="276" w:lineRule="auto"/>
        <w:rPr>
          <w:rFonts w:ascii="Calibri" w:eastAsia="Calibri" w:hAnsi="Calibri" w:cs="Calibri"/>
          <w:sz w:val="20"/>
          <w:szCs w:val="20"/>
        </w:rPr>
      </w:pPr>
      <w:r>
        <w:rPr>
          <w:rFonts w:ascii="Calibri" w:eastAsia="Calibri" w:hAnsi="Calibri" w:cs="Calibri"/>
          <w:sz w:val="20"/>
          <w:szCs w:val="20"/>
        </w:rPr>
        <w:t>Most common lesions</w:t>
      </w:r>
    </w:p>
    <w:p w14:paraId="6B32E6FD" w14:textId="77777777" w:rsidR="00481D1E" w:rsidRDefault="00481D1E" w:rsidP="00481D1E">
      <w:pPr>
        <w:numPr>
          <w:ilvl w:val="1"/>
          <w:numId w:val="10"/>
        </w:numPr>
        <w:spacing w:line="276" w:lineRule="auto"/>
        <w:rPr>
          <w:rFonts w:ascii="Calibri" w:eastAsia="Calibri" w:hAnsi="Calibri" w:cs="Calibri"/>
          <w:sz w:val="20"/>
          <w:szCs w:val="20"/>
        </w:rPr>
      </w:pPr>
      <w:r>
        <w:rPr>
          <w:rFonts w:ascii="Calibri" w:eastAsia="Calibri" w:hAnsi="Calibri" w:cs="Calibri"/>
          <w:sz w:val="20"/>
          <w:szCs w:val="20"/>
        </w:rPr>
        <w:t>Hepatopancreas: inflammation associated with infectious agent (encysted parasites &gt; bacteria &gt; fungi)</w:t>
      </w:r>
    </w:p>
    <w:p w14:paraId="1AD47531" w14:textId="77777777" w:rsidR="00481D1E" w:rsidRDefault="00481D1E" w:rsidP="00481D1E">
      <w:pPr>
        <w:numPr>
          <w:ilvl w:val="1"/>
          <w:numId w:val="10"/>
        </w:numPr>
        <w:spacing w:line="276" w:lineRule="auto"/>
        <w:rPr>
          <w:rFonts w:ascii="Calibri" w:eastAsia="Calibri" w:hAnsi="Calibri" w:cs="Calibri"/>
          <w:sz w:val="20"/>
          <w:szCs w:val="20"/>
        </w:rPr>
      </w:pPr>
      <w:r>
        <w:rPr>
          <w:rFonts w:ascii="Calibri" w:eastAsia="Calibri" w:hAnsi="Calibri" w:cs="Calibri"/>
          <w:sz w:val="20"/>
          <w:szCs w:val="20"/>
        </w:rPr>
        <w:t xml:space="preserve">Body wall: erosion (loss of epicuticle, often bacteria with no inflammation), parasitic cysts, ulceration (often fungal with significant inflammation), 1 case of invasive green algae, </w:t>
      </w:r>
      <w:proofErr w:type="spellStart"/>
      <w:r>
        <w:rPr>
          <w:rFonts w:ascii="Calibri" w:eastAsia="Calibri" w:hAnsi="Calibri" w:cs="Calibri"/>
          <w:sz w:val="20"/>
          <w:szCs w:val="20"/>
        </w:rPr>
        <w:t>dysecdysis</w:t>
      </w:r>
      <w:proofErr w:type="spellEnd"/>
      <w:r>
        <w:rPr>
          <w:rFonts w:ascii="Calibri" w:eastAsia="Calibri" w:hAnsi="Calibri" w:cs="Calibri"/>
          <w:sz w:val="20"/>
          <w:szCs w:val="20"/>
        </w:rPr>
        <w:t>, myositis (3 cases bacteria, 1 amoeba)</w:t>
      </w:r>
    </w:p>
    <w:p w14:paraId="63A0A740" w14:textId="77777777" w:rsidR="00481D1E" w:rsidRDefault="00481D1E" w:rsidP="00481D1E">
      <w:pPr>
        <w:numPr>
          <w:ilvl w:val="1"/>
          <w:numId w:val="10"/>
        </w:numPr>
        <w:spacing w:line="276" w:lineRule="auto"/>
        <w:rPr>
          <w:rFonts w:ascii="Calibri" w:eastAsia="Calibri" w:hAnsi="Calibri" w:cs="Calibri"/>
          <w:sz w:val="20"/>
          <w:szCs w:val="20"/>
        </w:rPr>
      </w:pPr>
      <w:r>
        <w:rPr>
          <w:rFonts w:ascii="Calibri" w:eastAsia="Calibri" w:hAnsi="Calibri" w:cs="Calibri"/>
          <w:sz w:val="20"/>
          <w:szCs w:val="20"/>
        </w:rPr>
        <w:lastRenderedPageBreak/>
        <w:t>Book gills: Inflammation, variably associated with infectious agents (bacteria &gt; fungi &gt; parasitic cysts), some mats of mixed infectious agents and parasites on the surface (biofilm mats), not associated with inflammation, often including blue-green algae (possibly incidental)</w:t>
      </w:r>
    </w:p>
    <w:p w14:paraId="253D22E9" w14:textId="77777777" w:rsidR="00481D1E" w:rsidRDefault="00481D1E" w:rsidP="00481D1E">
      <w:pPr>
        <w:numPr>
          <w:ilvl w:val="1"/>
          <w:numId w:val="10"/>
        </w:numPr>
        <w:spacing w:line="276" w:lineRule="auto"/>
        <w:rPr>
          <w:rFonts w:ascii="Calibri" w:eastAsia="Calibri" w:hAnsi="Calibri" w:cs="Calibri"/>
          <w:sz w:val="20"/>
          <w:szCs w:val="20"/>
        </w:rPr>
      </w:pPr>
      <w:r>
        <w:rPr>
          <w:rFonts w:ascii="Calibri" w:eastAsia="Calibri" w:hAnsi="Calibri" w:cs="Calibri"/>
          <w:sz w:val="20"/>
          <w:szCs w:val="20"/>
        </w:rPr>
        <w:t>Other: compound eye (fungal/bacterial ophthalmitis, variable ulceration), enteritis (bacteria, 1 case acid-fast, mixed bacteria/fungi)</w:t>
      </w:r>
    </w:p>
    <w:p w14:paraId="35710442" w14:textId="77777777" w:rsidR="00481D1E" w:rsidRDefault="00481D1E" w:rsidP="00481D1E">
      <w:pPr>
        <w:numPr>
          <w:ilvl w:val="1"/>
          <w:numId w:val="10"/>
        </w:numPr>
        <w:spacing w:line="276" w:lineRule="auto"/>
        <w:rPr>
          <w:rFonts w:ascii="Calibri" w:eastAsia="Calibri" w:hAnsi="Calibri" w:cs="Calibri"/>
          <w:sz w:val="20"/>
          <w:szCs w:val="20"/>
        </w:rPr>
      </w:pPr>
      <w:r>
        <w:rPr>
          <w:rFonts w:ascii="Calibri" w:eastAsia="Calibri" w:hAnsi="Calibri" w:cs="Calibri"/>
          <w:sz w:val="20"/>
          <w:szCs w:val="20"/>
        </w:rPr>
        <w:t xml:space="preserve">No lesions identified in </w:t>
      </w:r>
      <w:proofErr w:type="spellStart"/>
      <w:r>
        <w:rPr>
          <w:rFonts w:ascii="Calibri" w:eastAsia="Calibri" w:hAnsi="Calibri" w:cs="Calibri"/>
          <w:sz w:val="20"/>
          <w:szCs w:val="20"/>
        </w:rPr>
        <w:t>coxal</w:t>
      </w:r>
      <w:proofErr w:type="spellEnd"/>
      <w:r>
        <w:rPr>
          <w:rFonts w:ascii="Calibri" w:eastAsia="Calibri" w:hAnsi="Calibri" w:cs="Calibri"/>
          <w:sz w:val="20"/>
          <w:szCs w:val="20"/>
        </w:rPr>
        <w:t xml:space="preserve"> gland or gonads in any case</w:t>
      </w:r>
    </w:p>
    <w:p w14:paraId="4BBD39FB" w14:textId="77777777" w:rsidR="00481D1E" w:rsidRDefault="00481D1E" w:rsidP="00481D1E">
      <w:pPr>
        <w:numPr>
          <w:ilvl w:val="0"/>
          <w:numId w:val="10"/>
        </w:numPr>
        <w:spacing w:line="276" w:lineRule="auto"/>
        <w:rPr>
          <w:rFonts w:ascii="Calibri" w:eastAsia="Calibri" w:hAnsi="Calibri" w:cs="Calibri"/>
          <w:sz w:val="20"/>
          <w:szCs w:val="20"/>
        </w:rPr>
      </w:pPr>
      <w:r>
        <w:rPr>
          <w:rFonts w:ascii="Calibri" w:eastAsia="Calibri" w:hAnsi="Calibri" w:cs="Calibri"/>
          <w:sz w:val="20"/>
          <w:szCs w:val="20"/>
        </w:rPr>
        <w:t xml:space="preserve">Culture (6 cases): </w:t>
      </w:r>
    </w:p>
    <w:p w14:paraId="35664281" w14:textId="77777777" w:rsidR="00481D1E" w:rsidRDefault="00481D1E" w:rsidP="00481D1E">
      <w:pPr>
        <w:numPr>
          <w:ilvl w:val="1"/>
          <w:numId w:val="10"/>
        </w:numPr>
        <w:spacing w:line="276" w:lineRule="auto"/>
        <w:rPr>
          <w:rFonts w:ascii="Calibri" w:eastAsia="Calibri" w:hAnsi="Calibri" w:cs="Calibri"/>
          <w:sz w:val="20"/>
          <w:szCs w:val="20"/>
        </w:rPr>
      </w:pPr>
      <w:r>
        <w:rPr>
          <w:rFonts w:ascii="Calibri" w:eastAsia="Calibri" w:hAnsi="Calibri" w:cs="Calibri"/>
          <w:sz w:val="20"/>
          <w:szCs w:val="20"/>
        </w:rPr>
        <w:t xml:space="preserve">Hemolymph: </w:t>
      </w:r>
      <w:r>
        <w:rPr>
          <w:rFonts w:ascii="Calibri" w:eastAsia="Calibri" w:hAnsi="Calibri" w:cs="Calibri"/>
          <w:i/>
          <w:sz w:val="20"/>
          <w:szCs w:val="20"/>
        </w:rPr>
        <w:t xml:space="preserve">Pseudomonas </w:t>
      </w:r>
      <w:proofErr w:type="spellStart"/>
      <w:r>
        <w:rPr>
          <w:rFonts w:ascii="Calibri" w:eastAsia="Calibri" w:hAnsi="Calibri" w:cs="Calibri"/>
          <w:i/>
          <w:sz w:val="20"/>
          <w:szCs w:val="20"/>
        </w:rPr>
        <w:t>putrefaciens</w:t>
      </w:r>
      <w:proofErr w:type="spellEnd"/>
      <w:r>
        <w:rPr>
          <w:rFonts w:ascii="Calibri" w:eastAsia="Calibri" w:hAnsi="Calibri" w:cs="Calibri"/>
          <w:sz w:val="20"/>
          <w:szCs w:val="20"/>
        </w:rPr>
        <w:t xml:space="preserve">, </w:t>
      </w:r>
      <w:r>
        <w:rPr>
          <w:rFonts w:ascii="Calibri" w:eastAsia="Calibri" w:hAnsi="Calibri" w:cs="Calibri"/>
          <w:i/>
          <w:sz w:val="20"/>
          <w:szCs w:val="20"/>
        </w:rPr>
        <w:t xml:space="preserve">Aeromonas </w:t>
      </w:r>
      <w:proofErr w:type="spellStart"/>
      <w:r>
        <w:rPr>
          <w:rFonts w:ascii="Calibri" w:eastAsia="Calibri" w:hAnsi="Calibri" w:cs="Calibri"/>
          <w:i/>
          <w:sz w:val="20"/>
          <w:szCs w:val="20"/>
        </w:rPr>
        <w:t>hydrophila</w:t>
      </w:r>
      <w:proofErr w:type="spellEnd"/>
    </w:p>
    <w:p w14:paraId="2F120D0E" w14:textId="77777777" w:rsidR="00481D1E" w:rsidRDefault="00481D1E" w:rsidP="00481D1E">
      <w:pPr>
        <w:numPr>
          <w:ilvl w:val="1"/>
          <w:numId w:val="10"/>
        </w:numPr>
        <w:spacing w:line="276" w:lineRule="auto"/>
        <w:rPr>
          <w:rFonts w:ascii="Calibri" w:eastAsia="Calibri" w:hAnsi="Calibri" w:cs="Calibri"/>
          <w:sz w:val="20"/>
          <w:szCs w:val="20"/>
        </w:rPr>
      </w:pPr>
      <w:r>
        <w:rPr>
          <w:rFonts w:ascii="Calibri" w:eastAsia="Calibri" w:hAnsi="Calibri" w:cs="Calibri"/>
          <w:sz w:val="20"/>
          <w:szCs w:val="20"/>
        </w:rPr>
        <w:t xml:space="preserve">Hepatopancreas: </w:t>
      </w:r>
      <w:r>
        <w:rPr>
          <w:rFonts w:ascii="Calibri" w:eastAsia="Calibri" w:hAnsi="Calibri" w:cs="Calibri"/>
          <w:i/>
          <w:sz w:val="20"/>
          <w:szCs w:val="20"/>
        </w:rPr>
        <w:t>Micrococcus sp.</w:t>
      </w:r>
    </w:p>
    <w:p w14:paraId="628BA2C8" w14:textId="77777777" w:rsidR="00481D1E" w:rsidRDefault="00481D1E" w:rsidP="00481D1E">
      <w:pPr>
        <w:numPr>
          <w:ilvl w:val="1"/>
          <w:numId w:val="10"/>
        </w:numPr>
        <w:spacing w:line="276" w:lineRule="auto"/>
        <w:rPr>
          <w:rFonts w:ascii="Calibri" w:eastAsia="Calibri" w:hAnsi="Calibri" w:cs="Calibri"/>
          <w:sz w:val="20"/>
          <w:szCs w:val="20"/>
        </w:rPr>
      </w:pPr>
      <w:r>
        <w:rPr>
          <w:rFonts w:ascii="Calibri" w:eastAsia="Calibri" w:hAnsi="Calibri" w:cs="Calibri"/>
          <w:sz w:val="20"/>
          <w:szCs w:val="20"/>
        </w:rPr>
        <w:t xml:space="preserve">Gills: </w:t>
      </w:r>
      <w:r>
        <w:rPr>
          <w:rFonts w:ascii="Calibri" w:eastAsia="Calibri" w:hAnsi="Calibri" w:cs="Calibri"/>
          <w:i/>
          <w:sz w:val="20"/>
          <w:szCs w:val="20"/>
        </w:rPr>
        <w:t>Fusarium spp.</w:t>
      </w:r>
    </w:p>
    <w:p w14:paraId="21F0C48D" w14:textId="77777777" w:rsidR="00481D1E" w:rsidRDefault="00481D1E" w:rsidP="00481D1E">
      <w:pPr>
        <w:rPr>
          <w:rFonts w:ascii="Calibri" w:eastAsia="Calibri" w:hAnsi="Calibri" w:cs="Calibri"/>
          <w:sz w:val="20"/>
          <w:szCs w:val="20"/>
        </w:rPr>
      </w:pPr>
    </w:p>
    <w:p w14:paraId="2CB10C4C" w14:textId="77777777" w:rsidR="00481D1E" w:rsidRDefault="00481D1E" w:rsidP="00481D1E">
      <w:pPr>
        <w:rPr>
          <w:rFonts w:ascii="Calibri" w:eastAsia="Calibri" w:hAnsi="Calibri" w:cs="Calibri"/>
          <w:sz w:val="20"/>
          <w:szCs w:val="20"/>
        </w:rPr>
      </w:pPr>
      <w:r>
        <w:rPr>
          <w:rFonts w:ascii="Calibri" w:eastAsia="Calibri" w:hAnsi="Calibri" w:cs="Calibri"/>
          <w:sz w:val="20"/>
          <w:szCs w:val="20"/>
        </w:rPr>
        <w:t>Conclusions</w:t>
      </w:r>
    </w:p>
    <w:p w14:paraId="1F31867E" w14:textId="77777777" w:rsidR="00481D1E" w:rsidRDefault="00481D1E" w:rsidP="00481D1E">
      <w:pPr>
        <w:numPr>
          <w:ilvl w:val="0"/>
          <w:numId w:val="9"/>
        </w:numPr>
        <w:spacing w:line="276" w:lineRule="auto"/>
        <w:rPr>
          <w:rFonts w:ascii="Calibri" w:eastAsia="Calibri" w:hAnsi="Calibri" w:cs="Calibri"/>
          <w:sz w:val="20"/>
          <w:szCs w:val="20"/>
        </w:rPr>
      </w:pPr>
      <w:r>
        <w:rPr>
          <w:rFonts w:ascii="Calibri" w:eastAsia="Calibri" w:hAnsi="Calibri" w:cs="Calibri"/>
          <w:sz w:val="20"/>
          <w:szCs w:val="20"/>
        </w:rPr>
        <w:t>Inflammatory response results in hemolymph coagulum</w:t>
      </w:r>
    </w:p>
    <w:p w14:paraId="4A01632B" w14:textId="77777777" w:rsidR="00481D1E" w:rsidRDefault="00481D1E" w:rsidP="00481D1E">
      <w:pPr>
        <w:numPr>
          <w:ilvl w:val="0"/>
          <w:numId w:val="9"/>
        </w:numPr>
        <w:spacing w:line="276" w:lineRule="auto"/>
        <w:rPr>
          <w:rFonts w:ascii="Calibri" w:eastAsia="Calibri" w:hAnsi="Calibri" w:cs="Calibri"/>
          <w:sz w:val="20"/>
          <w:szCs w:val="20"/>
        </w:rPr>
      </w:pPr>
      <w:r>
        <w:rPr>
          <w:rFonts w:ascii="Calibri" w:eastAsia="Calibri" w:hAnsi="Calibri" w:cs="Calibri"/>
          <w:sz w:val="20"/>
          <w:szCs w:val="20"/>
        </w:rPr>
        <w:t xml:space="preserve">Fungal infection appears to invade from external infection vs bacteria appears to be spread by </w:t>
      </w:r>
      <w:proofErr w:type="spellStart"/>
      <w:r>
        <w:rPr>
          <w:rFonts w:ascii="Calibri" w:eastAsia="Calibri" w:hAnsi="Calibri" w:cs="Calibri"/>
          <w:sz w:val="20"/>
          <w:szCs w:val="20"/>
        </w:rPr>
        <w:t>hemolymphatic</w:t>
      </w:r>
      <w:proofErr w:type="spellEnd"/>
      <w:r>
        <w:rPr>
          <w:rFonts w:ascii="Calibri" w:eastAsia="Calibri" w:hAnsi="Calibri" w:cs="Calibri"/>
          <w:sz w:val="20"/>
          <w:szCs w:val="20"/>
        </w:rPr>
        <w:t xml:space="preserve"> showering</w:t>
      </w:r>
    </w:p>
    <w:p w14:paraId="324648D5" w14:textId="77777777" w:rsidR="00481D1E" w:rsidRDefault="00481D1E" w:rsidP="00481D1E">
      <w:pPr>
        <w:numPr>
          <w:ilvl w:val="0"/>
          <w:numId w:val="9"/>
        </w:numPr>
        <w:spacing w:line="276" w:lineRule="auto"/>
        <w:rPr>
          <w:rFonts w:ascii="Calibri" w:eastAsia="Calibri" w:hAnsi="Calibri" w:cs="Calibri"/>
          <w:sz w:val="20"/>
          <w:szCs w:val="20"/>
        </w:rPr>
      </w:pPr>
      <w:r>
        <w:rPr>
          <w:rFonts w:ascii="Calibri" w:eastAsia="Calibri" w:hAnsi="Calibri" w:cs="Calibri"/>
          <w:sz w:val="20"/>
          <w:szCs w:val="20"/>
        </w:rPr>
        <w:t>Blue-green algae found on book gill lamellae in biofilm mat with no host reaction</w:t>
      </w:r>
    </w:p>
    <w:p w14:paraId="4D64CF8C" w14:textId="77777777" w:rsidR="00481D1E" w:rsidRDefault="00481D1E" w:rsidP="00481D1E">
      <w:pPr>
        <w:rPr>
          <w:rFonts w:ascii="Calibri" w:eastAsia="Calibri" w:hAnsi="Calibri" w:cs="Calibri"/>
          <w:sz w:val="20"/>
          <w:szCs w:val="20"/>
        </w:rPr>
      </w:pPr>
    </w:p>
    <w:p w14:paraId="2F7B023B" w14:textId="77777777" w:rsidR="00481D1E" w:rsidRDefault="00481D1E" w:rsidP="00481D1E">
      <w:pPr>
        <w:rPr>
          <w:rFonts w:ascii="Calibri" w:eastAsia="Calibri" w:hAnsi="Calibri" w:cs="Calibri"/>
          <w:sz w:val="20"/>
          <w:szCs w:val="20"/>
        </w:rPr>
      </w:pPr>
    </w:p>
    <w:p w14:paraId="1D115924" w14:textId="77777777" w:rsidR="00481D1E" w:rsidRDefault="00481D1E" w:rsidP="00481D1E">
      <w:pPr>
        <w:rPr>
          <w:rFonts w:ascii="Calibri" w:eastAsia="Calibri" w:hAnsi="Calibri" w:cs="Calibri"/>
          <w:sz w:val="20"/>
          <w:szCs w:val="20"/>
        </w:rPr>
      </w:pPr>
      <w:r>
        <w:rPr>
          <w:rFonts w:ascii="Calibri" w:eastAsia="Calibri" w:hAnsi="Calibri" w:cs="Calibri"/>
          <w:noProof/>
          <w:sz w:val="20"/>
          <w:szCs w:val="20"/>
        </w:rPr>
        <w:drawing>
          <wp:inline distT="114300" distB="114300" distL="114300" distR="114300" wp14:anchorId="2D2F59D8" wp14:editId="0C968153">
            <wp:extent cx="5943600" cy="3759200"/>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
                    <a:srcRect/>
                    <a:stretch>
                      <a:fillRect/>
                    </a:stretch>
                  </pic:blipFill>
                  <pic:spPr>
                    <a:xfrm>
                      <a:off x="0" y="0"/>
                      <a:ext cx="5943600" cy="3759200"/>
                    </a:xfrm>
                    <a:prstGeom prst="rect">
                      <a:avLst/>
                    </a:prstGeom>
                    <a:ln/>
                  </pic:spPr>
                </pic:pic>
              </a:graphicData>
            </a:graphic>
          </wp:inline>
        </w:drawing>
      </w:r>
    </w:p>
    <w:p w14:paraId="3D958D66" w14:textId="77777777" w:rsidR="00481D1E" w:rsidRPr="00087194" w:rsidRDefault="00481D1E" w:rsidP="00481D1E">
      <w:pPr>
        <w:rPr>
          <w:rFonts w:asciiTheme="majorHAnsi" w:eastAsia="Calibri" w:hAnsiTheme="majorHAnsi" w:cstheme="majorHAnsi"/>
          <w:sz w:val="20"/>
          <w:szCs w:val="20"/>
        </w:rPr>
      </w:pPr>
      <w:proofErr w:type="spellStart"/>
      <w:r w:rsidRPr="00087194">
        <w:rPr>
          <w:rFonts w:asciiTheme="majorHAnsi" w:hAnsiTheme="majorHAnsi" w:cstheme="majorHAnsi"/>
          <w:sz w:val="20"/>
          <w:szCs w:val="20"/>
        </w:rPr>
        <w:t>Bergdale</w:t>
      </w:r>
      <w:proofErr w:type="spellEnd"/>
      <w:r w:rsidRPr="00087194">
        <w:rPr>
          <w:rFonts w:asciiTheme="majorHAnsi" w:hAnsiTheme="majorHAnsi" w:cstheme="majorHAnsi"/>
          <w:sz w:val="20"/>
          <w:szCs w:val="20"/>
        </w:rPr>
        <w:t xml:space="preserve"> KJ. Illustrations for Health Assessment Techniques of the Atlantic Horseshoe Crab, </w:t>
      </w:r>
      <w:r w:rsidRPr="00087194">
        <w:rPr>
          <w:rFonts w:asciiTheme="majorHAnsi" w:hAnsiTheme="majorHAnsi" w:cstheme="majorHAnsi"/>
          <w:i/>
          <w:iCs/>
          <w:sz w:val="20"/>
          <w:szCs w:val="20"/>
        </w:rPr>
        <w:t xml:space="preserve">Limulus </w:t>
      </w:r>
      <w:proofErr w:type="spellStart"/>
      <w:r w:rsidRPr="00087194">
        <w:rPr>
          <w:rFonts w:asciiTheme="majorHAnsi" w:hAnsiTheme="majorHAnsi" w:cstheme="majorHAnsi"/>
          <w:i/>
          <w:iCs/>
          <w:sz w:val="20"/>
          <w:szCs w:val="20"/>
        </w:rPr>
        <w:t>polyphemus</w:t>
      </w:r>
      <w:proofErr w:type="spellEnd"/>
      <w:r w:rsidRPr="00087194">
        <w:rPr>
          <w:rFonts w:asciiTheme="majorHAnsi" w:hAnsiTheme="majorHAnsi" w:cstheme="majorHAnsi"/>
          <w:sz w:val="20"/>
          <w:szCs w:val="20"/>
        </w:rPr>
        <w:t xml:space="preserve"> [thesis]. Baltimore, MD: Johns Hopkins University; 2017.</w:t>
      </w:r>
    </w:p>
    <w:p w14:paraId="2D5E5B4C" w14:textId="77777777" w:rsidR="00481D1E" w:rsidRDefault="00481D1E" w:rsidP="00481D1E">
      <w:pPr>
        <w:rPr>
          <w:rFonts w:ascii="Calibri" w:eastAsia="Calibri" w:hAnsi="Calibri" w:cs="Calibri"/>
          <w:sz w:val="20"/>
          <w:szCs w:val="20"/>
        </w:rPr>
      </w:pPr>
      <w:hyperlink r:id="rId7">
        <w:r>
          <w:rPr>
            <w:rFonts w:ascii="Calibri" w:eastAsia="Calibri" w:hAnsi="Calibri" w:cs="Calibri"/>
            <w:color w:val="1155CC"/>
            <w:sz w:val="20"/>
            <w:szCs w:val="20"/>
            <w:u w:val="single"/>
          </w:rPr>
          <w:t>https://jscholarship.library.jhu.edu/bitstream/handle/1774.2/40736/BERGDALE-THESIS-2017.pdf</w:t>
        </w:r>
      </w:hyperlink>
    </w:p>
    <w:p w14:paraId="17E132E7" w14:textId="77777777" w:rsidR="00481D1E" w:rsidRDefault="00481D1E" w:rsidP="00481D1E">
      <w:pPr>
        <w:rPr>
          <w:rFonts w:ascii="Calibri" w:eastAsia="Calibri" w:hAnsi="Calibri" w:cs="Calibri"/>
          <w:sz w:val="20"/>
          <w:szCs w:val="20"/>
        </w:rPr>
      </w:pPr>
    </w:p>
    <w:p w14:paraId="356A758D" w14:textId="77777777" w:rsidR="00481D1E" w:rsidRDefault="00481D1E" w:rsidP="00481D1E">
      <w:pPr>
        <w:rPr>
          <w:rFonts w:ascii="Calibri" w:eastAsia="Calibri" w:hAnsi="Calibri" w:cs="Calibri"/>
          <w:b/>
          <w:sz w:val="20"/>
          <w:szCs w:val="20"/>
        </w:rPr>
      </w:pPr>
      <w:r w:rsidRPr="00085A20">
        <w:rPr>
          <w:rFonts w:ascii="Calibri" w:eastAsia="Calibri" w:hAnsi="Calibri" w:cs="Calibri"/>
          <w:noProof/>
          <w:sz w:val="20"/>
          <w:szCs w:val="20"/>
        </w:rPr>
        <w:lastRenderedPageBreak/>
        <mc:AlternateContent>
          <mc:Choice Requires="wps">
            <w:drawing>
              <wp:anchor distT="45720" distB="45720" distL="114300" distR="114300" simplePos="0" relativeHeight="251663360" behindDoc="0" locked="0" layoutInCell="1" allowOverlap="1" wp14:anchorId="04EBF611" wp14:editId="6B4BA465">
                <wp:simplePos x="0" y="0"/>
                <wp:positionH relativeFrom="column">
                  <wp:posOffset>3143250</wp:posOffset>
                </wp:positionH>
                <wp:positionV relativeFrom="paragraph">
                  <wp:posOffset>785813</wp:posOffset>
                </wp:positionV>
                <wp:extent cx="1304925" cy="442913"/>
                <wp:effectExtent l="0" t="0" r="9525"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442913"/>
                        </a:xfrm>
                        <a:prstGeom prst="rect">
                          <a:avLst/>
                        </a:prstGeom>
                        <a:solidFill>
                          <a:srgbClr val="FFFFFF">
                            <a:alpha val="74902"/>
                          </a:srgbClr>
                        </a:solidFill>
                        <a:ln w="9525">
                          <a:noFill/>
                          <a:miter lim="800000"/>
                          <a:headEnd/>
                          <a:tailEnd/>
                        </a:ln>
                      </wps:spPr>
                      <wps:txbx>
                        <w:txbxContent>
                          <w:p w14:paraId="4C44B523" w14:textId="77777777" w:rsidR="00481D1E" w:rsidRPr="00085A20" w:rsidRDefault="00481D1E" w:rsidP="00481D1E">
                            <w:pPr>
                              <w:rPr>
                                <w:rFonts w:asciiTheme="majorHAnsi" w:hAnsiTheme="majorHAnsi" w:cstheme="majorHAnsi"/>
                                <w:sz w:val="20"/>
                                <w:szCs w:val="20"/>
                              </w:rPr>
                            </w:pPr>
                            <w:r>
                              <w:rPr>
                                <w:rFonts w:asciiTheme="majorHAnsi" w:hAnsiTheme="majorHAnsi" w:cstheme="majorHAnsi"/>
                                <w:sz w:val="20"/>
                                <w:szCs w:val="20"/>
                              </w:rPr>
                              <w:t>Interstitial cells with eosinophilic globules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EBF611" id="_x0000_t202" coordsize="21600,21600" o:spt="202" path="m,l,21600r21600,l21600,xe">
                <v:stroke joinstyle="miter"/>
                <v:path gradientshapeok="t" o:connecttype="rect"/>
              </v:shapetype>
              <v:shape id="Text Box 2" o:spid="_x0000_s1026" type="#_x0000_t202" style="position:absolute;margin-left:247.5pt;margin-top:61.9pt;width:102.75pt;height:34.9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" stroked="f">
                <v:fill opacity="49087f"/>
                <v:textbox>
                  <w:txbxContent>
                    <w:p w14:paraId="4C44B523" w14:textId="77777777" w:rsidR="00481D1E" w:rsidRPr="00085A20" w:rsidRDefault="00481D1E" w:rsidP="00481D1E">
                      <w:pPr>
                        <w:rPr>
                          <w:rFonts w:asciiTheme="majorHAnsi" w:hAnsiTheme="majorHAnsi" w:cstheme="majorHAnsi"/>
                          <w:sz w:val="20"/>
                          <w:szCs w:val="20"/>
                        </w:rPr>
                      </w:pPr>
                      <w:r>
                        <w:rPr>
                          <w:rFonts w:asciiTheme="majorHAnsi" w:hAnsiTheme="majorHAnsi" w:cstheme="majorHAnsi"/>
                          <w:sz w:val="20"/>
                          <w:szCs w:val="20"/>
                        </w:rPr>
                        <w:t>Interstitial cells with eosinophilic globules</w:t>
                      </w:r>
                    </w:p>
                  </w:txbxContent>
                </v:textbox>
              </v:shape>
            </w:pict>
          </mc:Fallback>
        </mc:AlternateContent>
      </w:r>
      <w:r>
        <w:rPr>
          <w:rFonts w:ascii="Calibri" w:eastAsia="Calibri" w:hAnsi="Calibri" w:cs="Calibri"/>
          <w:noProof/>
          <w:sz w:val="20"/>
          <w:szCs w:val="20"/>
        </w:rPr>
        <mc:AlternateContent>
          <mc:Choice Requires="wps">
            <w:drawing>
              <wp:anchor distT="0" distB="0" distL="114300" distR="114300" simplePos="0" relativeHeight="251662336" behindDoc="0" locked="0" layoutInCell="1" allowOverlap="1" wp14:anchorId="4FEE95B3" wp14:editId="0EF1DA28">
                <wp:simplePos x="0" y="0"/>
                <wp:positionH relativeFrom="column">
                  <wp:posOffset>904558</wp:posOffset>
                </wp:positionH>
                <wp:positionV relativeFrom="paragraph">
                  <wp:posOffset>1752599</wp:posOffset>
                </wp:positionV>
                <wp:extent cx="105092" cy="161925"/>
                <wp:effectExtent l="57150" t="38100" r="47625" b="85725"/>
                <wp:wrapNone/>
                <wp:docPr id="13" name="Straight Arrow Connector 13"/>
                <wp:cNvGraphicFramePr/>
                <a:graphic xmlns:a="http://schemas.openxmlformats.org/drawingml/2006/main">
                  <a:graphicData uri="http://schemas.microsoft.com/office/word/2010/wordprocessingShape">
                    <wps:wsp>
                      <wps:cNvCnPr/>
                      <wps:spPr>
                        <a:xfrm flipV="1">
                          <a:off x="0" y="0"/>
                          <a:ext cx="105092" cy="1619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2DB213" id="_x0000_t32" coordsize="21600,21600" o:spt="32" o:oned="t" path="m,l21600,21600e" filled="f">
                <v:path arrowok="t" fillok="f" o:connecttype="none"/>
                <o:lock v:ext="edit" shapetype="t"/>
              </v:shapetype>
              <v:shape id="Straight Arrow Connector 13" o:spid="_x0000_s1026" type="#_x0000_t32" style="position:absolute;margin-left:71.25pt;margin-top:138pt;width:8.25pt;height:12.7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" strokecolor="black [3200]" strokeweight="2pt">
                <v:stroke endarrow="block"/>
                <v:shadow on="t" color="black" opacity="24903f" origin=",.5" offset="0,.55556mm"/>
              </v:shape>
            </w:pict>
          </mc:Fallback>
        </mc:AlternateContent>
      </w:r>
      <w:r>
        <w:rPr>
          <w:rFonts w:ascii="Calibri" w:eastAsia="Calibri" w:hAnsi="Calibri" w:cs="Calibri"/>
          <w:noProof/>
          <w:sz w:val="20"/>
          <w:szCs w:val="20"/>
        </w:rPr>
        <mc:AlternateContent>
          <mc:Choice Requires="wps">
            <w:drawing>
              <wp:anchor distT="0" distB="0" distL="114300" distR="114300" simplePos="0" relativeHeight="251661312" behindDoc="0" locked="0" layoutInCell="1" allowOverlap="1" wp14:anchorId="6F4AFA1C" wp14:editId="2A69EC40">
                <wp:simplePos x="0" y="0"/>
                <wp:positionH relativeFrom="column">
                  <wp:posOffset>438150</wp:posOffset>
                </wp:positionH>
                <wp:positionV relativeFrom="paragraph">
                  <wp:posOffset>1643063</wp:posOffset>
                </wp:positionV>
                <wp:extent cx="90488" cy="219075"/>
                <wp:effectExtent l="57150" t="38100" r="62230" b="85725"/>
                <wp:wrapNone/>
                <wp:docPr id="12" name="Straight Arrow Connector 12"/>
                <wp:cNvGraphicFramePr/>
                <a:graphic xmlns:a="http://schemas.openxmlformats.org/drawingml/2006/main">
                  <a:graphicData uri="http://schemas.microsoft.com/office/word/2010/wordprocessingShape">
                    <wps:wsp>
                      <wps:cNvCnPr/>
                      <wps:spPr>
                        <a:xfrm flipH="1" flipV="1">
                          <a:off x="0" y="0"/>
                          <a:ext cx="90488" cy="2190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1FE5E98" id="Straight Arrow Connector 12" o:spid="_x0000_s1026" type="#_x0000_t32" style="position:absolute;margin-left:34.5pt;margin-top:129.4pt;width:7.15pt;height:17.25pt;flip:x 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" strokecolor="black [3200]" strokeweight="2pt">
                <v:stroke endarrow="block"/>
                <v:shadow on="t" color="black" opacity="24903f" origin=",.5" offset="0,.55556mm"/>
              </v:shape>
            </w:pict>
          </mc:Fallback>
        </mc:AlternateContent>
      </w:r>
      <w:r w:rsidRPr="00085A20">
        <w:rPr>
          <w:rFonts w:ascii="Calibri" w:eastAsia="Calibri" w:hAnsi="Calibri" w:cs="Calibri"/>
          <w:noProof/>
          <w:sz w:val="20"/>
          <w:szCs w:val="20"/>
        </w:rPr>
        <mc:AlternateContent>
          <mc:Choice Requires="wps">
            <w:drawing>
              <wp:anchor distT="45720" distB="45720" distL="114300" distR="114300" simplePos="0" relativeHeight="251660288" behindDoc="0" locked="0" layoutInCell="1" allowOverlap="1" wp14:anchorId="3C991244" wp14:editId="575E8B53">
                <wp:simplePos x="0" y="0"/>
                <wp:positionH relativeFrom="column">
                  <wp:posOffset>185420</wp:posOffset>
                </wp:positionH>
                <wp:positionV relativeFrom="paragraph">
                  <wp:posOffset>1890078</wp:posOffset>
                </wp:positionV>
                <wp:extent cx="1162050" cy="290513"/>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90513"/>
                        </a:xfrm>
                        <a:prstGeom prst="rect">
                          <a:avLst/>
                        </a:prstGeom>
                        <a:solidFill>
                          <a:srgbClr val="FFFFFF">
                            <a:alpha val="74902"/>
                          </a:srgbClr>
                        </a:solidFill>
                        <a:ln w="9525">
                          <a:noFill/>
                          <a:miter lim="800000"/>
                          <a:headEnd/>
                          <a:tailEnd/>
                        </a:ln>
                      </wps:spPr>
                      <wps:txbx>
                        <w:txbxContent>
                          <w:p w14:paraId="48BAD888" w14:textId="77777777" w:rsidR="00481D1E" w:rsidRPr="00085A20" w:rsidRDefault="00481D1E" w:rsidP="00481D1E">
                            <w:pPr>
                              <w:rPr>
                                <w:rFonts w:asciiTheme="majorHAnsi" w:hAnsiTheme="majorHAnsi" w:cstheme="majorHAnsi"/>
                                <w:sz w:val="20"/>
                                <w:szCs w:val="20"/>
                              </w:rPr>
                            </w:pPr>
                            <w:r w:rsidRPr="00085A20">
                              <w:rPr>
                                <w:rFonts w:asciiTheme="majorHAnsi" w:hAnsiTheme="majorHAnsi" w:cstheme="majorHAnsi"/>
                                <w:sz w:val="20"/>
                                <w:szCs w:val="20"/>
                              </w:rPr>
                              <w:t>Collecting tubule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991244" id="_x0000_s1027" type="#_x0000_t202" style="position:absolute;margin-left:14.6pt;margin-top:148.85pt;width:91.5pt;height:22.9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" stroked="f">
                <v:fill opacity="49087f"/>
                <v:textbox>
                  <w:txbxContent>
                    <w:p w14:paraId="48BAD888" w14:textId="77777777" w:rsidR="00481D1E" w:rsidRPr="00085A20" w:rsidRDefault="00481D1E" w:rsidP="00481D1E">
                      <w:pPr>
                        <w:rPr>
                          <w:rFonts w:asciiTheme="majorHAnsi" w:hAnsiTheme="majorHAnsi" w:cstheme="majorHAnsi"/>
                          <w:sz w:val="20"/>
                          <w:szCs w:val="20"/>
                        </w:rPr>
                      </w:pPr>
                      <w:r w:rsidRPr="00085A20">
                        <w:rPr>
                          <w:rFonts w:asciiTheme="majorHAnsi" w:hAnsiTheme="majorHAnsi" w:cstheme="majorHAnsi"/>
                          <w:sz w:val="20"/>
                          <w:szCs w:val="20"/>
                        </w:rPr>
                        <w:t>Collecting tubule</w:t>
                      </w:r>
                    </w:p>
                  </w:txbxContent>
                </v:textbox>
              </v:shape>
            </w:pict>
          </mc:Fallback>
        </mc:AlternateContent>
      </w:r>
      <w:r w:rsidRPr="00085A20">
        <w:rPr>
          <w:rFonts w:ascii="Calibri" w:eastAsia="Calibri" w:hAnsi="Calibri" w:cs="Calibri"/>
          <w:noProof/>
          <w:sz w:val="20"/>
          <w:szCs w:val="20"/>
        </w:rPr>
        <mc:AlternateContent>
          <mc:Choice Requires="wps">
            <w:drawing>
              <wp:anchor distT="45720" distB="45720" distL="114300" distR="114300" simplePos="0" relativeHeight="251659264" behindDoc="0" locked="0" layoutInCell="1" allowOverlap="1" wp14:anchorId="6113DA13" wp14:editId="51A1EC75">
                <wp:simplePos x="0" y="0"/>
                <wp:positionH relativeFrom="column">
                  <wp:posOffset>1023938</wp:posOffset>
                </wp:positionH>
                <wp:positionV relativeFrom="paragraph">
                  <wp:posOffset>28575</wp:posOffset>
                </wp:positionV>
                <wp:extent cx="604837" cy="290513"/>
                <wp:effectExtent l="0" t="0" r="508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 cy="290513"/>
                        </a:xfrm>
                        <a:prstGeom prst="rect">
                          <a:avLst/>
                        </a:prstGeom>
                        <a:solidFill>
                          <a:srgbClr val="FFFFFF">
                            <a:alpha val="74902"/>
                          </a:srgbClr>
                        </a:solidFill>
                        <a:ln w="9525">
                          <a:noFill/>
                          <a:miter lim="800000"/>
                          <a:headEnd/>
                          <a:tailEnd/>
                        </a:ln>
                      </wps:spPr>
                      <wps:txbx>
                        <w:txbxContent>
                          <w:p w14:paraId="18C02472" w14:textId="77777777" w:rsidR="00481D1E" w:rsidRPr="00085A20" w:rsidRDefault="00481D1E" w:rsidP="00481D1E">
                            <w:pPr>
                              <w:rPr>
                                <w:rFonts w:asciiTheme="majorHAnsi" w:hAnsiTheme="majorHAnsi" w:cstheme="majorHAnsi"/>
                                <w:sz w:val="20"/>
                                <w:szCs w:val="20"/>
                              </w:rPr>
                            </w:pPr>
                            <w:r w:rsidRPr="00085A20">
                              <w:rPr>
                                <w:rFonts w:asciiTheme="majorHAnsi" w:hAnsiTheme="majorHAnsi" w:cstheme="majorHAnsi"/>
                                <w:sz w:val="20"/>
                                <w:szCs w:val="20"/>
                              </w:rPr>
                              <w:t>Ovary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3DA13" id="_x0000_s1028" type="#_x0000_t202" style="position:absolute;margin-left:80.65pt;margin-top:2.25pt;width:47.6pt;height:22.9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" stroked="f">
                <v:fill opacity="49087f"/>
                <v:textbox>
                  <w:txbxContent>
                    <w:p w14:paraId="18C02472" w14:textId="77777777" w:rsidR="00481D1E" w:rsidRPr="00085A20" w:rsidRDefault="00481D1E" w:rsidP="00481D1E">
                      <w:pPr>
                        <w:rPr>
                          <w:rFonts w:asciiTheme="majorHAnsi" w:hAnsiTheme="majorHAnsi" w:cstheme="majorHAnsi"/>
                          <w:sz w:val="20"/>
                          <w:szCs w:val="20"/>
                        </w:rPr>
                      </w:pPr>
                      <w:r w:rsidRPr="00085A20">
                        <w:rPr>
                          <w:rFonts w:asciiTheme="majorHAnsi" w:hAnsiTheme="majorHAnsi" w:cstheme="majorHAnsi"/>
                          <w:sz w:val="20"/>
                          <w:szCs w:val="20"/>
                        </w:rPr>
                        <w:t>Ovary</w:t>
                      </w:r>
                    </w:p>
                  </w:txbxContent>
                </v:textbox>
              </v:shape>
            </w:pict>
          </mc:Fallback>
        </mc:AlternateContent>
      </w:r>
      <w:r>
        <w:rPr>
          <w:rFonts w:ascii="Calibri" w:eastAsia="Calibri" w:hAnsi="Calibri" w:cs="Calibri"/>
          <w:noProof/>
          <w:sz w:val="20"/>
          <w:szCs w:val="20"/>
        </w:rPr>
        <w:drawing>
          <wp:inline distT="114300" distB="114300" distL="114300" distR="114300" wp14:anchorId="4BF93160" wp14:editId="31E806CB">
            <wp:extent cx="4519613" cy="2287705"/>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4519613" cy="2287705"/>
                    </a:xfrm>
                    <a:prstGeom prst="rect">
                      <a:avLst/>
                    </a:prstGeom>
                    <a:ln/>
                  </pic:spPr>
                </pic:pic>
              </a:graphicData>
            </a:graphic>
          </wp:inline>
        </w:drawing>
      </w:r>
      <w:r>
        <w:rPr>
          <w:rFonts w:ascii="Calibri" w:eastAsia="Calibri" w:hAnsi="Calibri" w:cs="Calibri"/>
          <w:sz w:val="20"/>
          <w:szCs w:val="20"/>
        </w:rPr>
        <w:t xml:space="preserve"> </w:t>
      </w:r>
    </w:p>
    <w:p w14:paraId="502C6D73" w14:textId="77777777" w:rsidR="00481D1E" w:rsidRDefault="00481D1E" w:rsidP="00481D1E">
      <w:pPr>
        <w:rPr>
          <w:rFonts w:ascii="Calibri" w:eastAsia="Calibri" w:hAnsi="Calibri" w:cs="Calibri"/>
          <w:b/>
          <w:sz w:val="20"/>
          <w:szCs w:val="20"/>
        </w:rPr>
      </w:pPr>
      <w:r>
        <w:rPr>
          <w:rFonts w:ascii="Calibri" w:eastAsia="Calibri" w:hAnsi="Calibri" w:cs="Calibri"/>
          <w:b/>
          <w:sz w:val="20"/>
          <w:szCs w:val="20"/>
        </w:rPr>
        <w:t xml:space="preserve">Normal hepatopancreas with interdigitating ovary: </w:t>
      </w:r>
    </w:p>
    <w:p w14:paraId="536FBCB4" w14:textId="77777777" w:rsidR="00481D1E" w:rsidRDefault="00481D1E" w:rsidP="00481D1E">
      <w:pPr>
        <w:numPr>
          <w:ilvl w:val="0"/>
          <w:numId w:val="6"/>
        </w:numPr>
        <w:spacing w:line="276" w:lineRule="auto"/>
        <w:rPr>
          <w:rFonts w:ascii="Calibri" w:eastAsia="Calibri" w:hAnsi="Calibri" w:cs="Calibri"/>
          <w:sz w:val="20"/>
          <w:szCs w:val="20"/>
        </w:rPr>
      </w:pPr>
      <w:r>
        <w:rPr>
          <w:rFonts w:ascii="Calibri" w:eastAsia="Calibri" w:hAnsi="Calibri" w:cs="Calibri"/>
          <w:sz w:val="20"/>
          <w:szCs w:val="20"/>
        </w:rPr>
        <w:t>interstitial cells (aka storage or reserve cells) with variable eosinophilic globules (fewer basophilic globules)</w:t>
      </w:r>
    </w:p>
    <w:p w14:paraId="00A71CC3" w14:textId="77777777" w:rsidR="00481D1E" w:rsidRDefault="00481D1E" w:rsidP="00481D1E">
      <w:pPr>
        <w:numPr>
          <w:ilvl w:val="0"/>
          <w:numId w:val="6"/>
        </w:numPr>
        <w:spacing w:line="276" w:lineRule="auto"/>
        <w:rPr>
          <w:rFonts w:ascii="Calibri" w:eastAsia="Calibri" w:hAnsi="Calibri" w:cs="Calibri"/>
          <w:sz w:val="20"/>
          <w:szCs w:val="20"/>
        </w:rPr>
      </w:pPr>
      <w:r>
        <w:rPr>
          <w:rFonts w:ascii="Calibri" w:eastAsia="Calibri" w:hAnsi="Calibri" w:cs="Calibri"/>
          <w:sz w:val="20"/>
          <w:szCs w:val="20"/>
        </w:rPr>
        <w:t>Collecting tubules</w:t>
      </w:r>
    </w:p>
    <w:p w14:paraId="26071060" w14:textId="77777777" w:rsidR="00481D1E" w:rsidRDefault="00481D1E" w:rsidP="00481D1E">
      <w:pPr>
        <w:numPr>
          <w:ilvl w:val="0"/>
          <w:numId w:val="6"/>
        </w:numPr>
        <w:spacing w:line="276" w:lineRule="auto"/>
        <w:rPr>
          <w:rFonts w:ascii="Calibri" w:eastAsia="Calibri" w:hAnsi="Calibri" w:cs="Calibri"/>
          <w:sz w:val="20"/>
          <w:szCs w:val="20"/>
        </w:rPr>
      </w:pPr>
      <w:r>
        <w:rPr>
          <w:rFonts w:ascii="Calibri" w:eastAsia="Calibri" w:hAnsi="Calibri" w:cs="Calibri"/>
          <w:sz w:val="20"/>
          <w:szCs w:val="20"/>
        </w:rPr>
        <w:t>Rare granular, birefringent, brown crystalline material, no associated host reaction, intra and extracellular</w:t>
      </w:r>
    </w:p>
    <w:p w14:paraId="780BFACE" w14:textId="77777777" w:rsidR="00481D1E" w:rsidRDefault="00481D1E" w:rsidP="00481D1E">
      <w:pPr>
        <w:rPr>
          <w:rFonts w:ascii="Calibri" w:eastAsia="Calibri" w:hAnsi="Calibri" w:cs="Calibri"/>
          <w:sz w:val="20"/>
          <w:szCs w:val="20"/>
        </w:rPr>
      </w:pPr>
      <w:r>
        <w:rPr>
          <w:rFonts w:ascii="Calibri" w:eastAsia="Calibri" w:hAnsi="Calibri" w:cs="Calibri"/>
          <w:noProof/>
          <w:sz w:val="20"/>
          <w:szCs w:val="20"/>
        </w:rPr>
        <w:drawing>
          <wp:inline distT="114300" distB="114300" distL="114300" distR="114300" wp14:anchorId="2D596833" wp14:editId="59FF26D2">
            <wp:extent cx="3890527" cy="1976438"/>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3890527" cy="1976438"/>
                    </a:xfrm>
                    <a:prstGeom prst="rect">
                      <a:avLst/>
                    </a:prstGeom>
                    <a:ln/>
                  </pic:spPr>
                </pic:pic>
              </a:graphicData>
            </a:graphic>
          </wp:inline>
        </w:drawing>
      </w:r>
    </w:p>
    <w:p w14:paraId="7EA1A48F" w14:textId="77777777" w:rsidR="00481D1E" w:rsidRDefault="00481D1E" w:rsidP="00481D1E">
      <w:pPr>
        <w:rPr>
          <w:rFonts w:ascii="Calibri" w:eastAsia="Calibri" w:hAnsi="Calibri" w:cs="Calibri"/>
          <w:sz w:val="20"/>
          <w:szCs w:val="20"/>
        </w:rPr>
      </w:pPr>
      <w:r>
        <w:rPr>
          <w:rFonts w:ascii="Calibri" w:eastAsia="Calibri" w:hAnsi="Calibri" w:cs="Calibri"/>
          <w:b/>
          <w:sz w:val="20"/>
          <w:szCs w:val="20"/>
        </w:rPr>
        <w:t xml:space="preserve">Interstitial cell eosinophilic globule depletion </w:t>
      </w:r>
      <w:r>
        <w:rPr>
          <w:rFonts w:ascii="Calibri" w:eastAsia="Calibri" w:hAnsi="Calibri" w:cs="Calibri"/>
          <w:sz w:val="20"/>
          <w:szCs w:val="20"/>
        </w:rPr>
        <w:t>- may represent decreased overall nutritional status</w:t>
      </w:r>
    </w:p>
    <w:p w14:paraId="1A3303F4" w14:textId="77777777" w:rsidR="00481D1E" w:rsidRDefault="00481D1E" w:rsidP="00481D1E">
      <w:pPr>
        <w:rPr>
          <w:rFonts w:ascii="Calibri" w:eastAsia="Calibri" w:hAnsi="Calibri" w:cs="Calibri"/>
          <w:sz w:val="20"/>
          <w:szCs w:val="20"/>
        </w:rPr>
      </w:pPr>
      <w:r>
        <w:rPr>
          <w:rFonts w:ascii="Calibri" w:eastAsia="Calibri" w:hAnsi="Calibri" w:cs="Calibri"/>
          <w:noProof/>
          <w:sz w:val="20"/>
          <w:szCs w:val="20"/>
        </w:rPr>
        <w:drawing>
          <wp:inline distT="114300" distB="114300" distL="114300" distR="114300" wp14:anchorId="2C812C45" wp14:editId="728C0EB5">
            <wp:extent cx="3890963" cy="190495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3890963" cy="1904950"/>
                    </a:xfrm>
                    <a:prstGeom prst="rect">
                      <a:avLst/>
                    </a:prstGeom>
                    <a:ln/>
                  </pic:spPr>
                </pic:pic>
              </a:graphicData>
            </a:graphic>
          </wp:inline>
        </w:drawing>
      </w:r>
    </w:p>
    <w:p w14:paraId="322B60D0" w14:textId="77777777" w:rsidR="00481D1E" w:rsidRDefault="00481D1E" w:rsidP="00481D1E">
      <w:pPr>
        <w:rPr>
          <w:rFonts w:ascii="Calibri" w:eastAsia="Calibri" w:hAnsi="Calibri" w:cs="Calibri"/>
          <w:sz w:val="20"/>
          <w:szCs w:val="20"/>
        </w:rPr>
      </w:pPr>
      <w:r>
        <w:rPr>
          <w:rFonts w:ascii="Calibri" w:eastAsia="Calibri" w:hAnsi="Calibri" w:cs="Calibri"/>
          <w:b/>
          <w:sz w:val="20"/>
          <w:szCs w:val="20"/>
        </w:rPr>
        <w:t>Collecting tubules</w:t>
      </w:r>
      <w:r>
        <w:rPr>
          <w:rFonts w:ascii="Calibri" w:eastAsia="Calibri" w:hAnsi="Calibri" w:cs="Calibri"/>
          <w:sz w:val="20"/>
          <w:szCs w:val="20"/>
        </w:rPr>
        <w:t>: simple, tall, columnar epithelial cells</w:t>
      </w:r>
    </w:p>
    <w:p w14:paraId="452DD5BE" w14:textId="77777777" w:rsidR="00481D1E" w:rsidRDefault="00481D1E" w:rsidP="00481D1E">
      <w:pPr>
        <w:numPr>
          <w:ilvl w:val="1"/>
          <w:numId w:val="11"/>
        </w:numPr>
        <w:spacing w:line="276" w:lineRule="auto"/>
        <w:rPr>
          <w:rFonts w:ascii="Calibri" w:eastAsia="Calibri" w:hAnsi="Calibri" w:cs="Calibri"/>
          <w:sz w:val="20"/>
          <w:szCs w:val="20"/>
        </w:rPr>
      </w:pPr>
      <w:r>
        <w:rPr>
          <w:rFonts w:ascii="Calibri" w:eastAsia="Calibri" w:hAnsi="Calibri" w:cs="Calibri"/>
          <w:sz w:val="20"/>
          <w:szCs w:val="20"/>
        </w:rPr>
        <w:t>light cells (</w:t>
      </w:r>
      <w:proofErr w:type="spellStart"/>
      <w:r>
        <w:rPr>
          <w:rFonts w:ascii="Calibri" w:eastAsia="Calibri" w:hAnsi="Calibri" w:cs="Calibri"/>
          <w:sz w:val="20"/>
          <w:szCs w:val="20"/>
        </w:rPr>
        <w:t>acidophils</w:t>
      </w:r>
      <w:proofErr w:type="spellEnd"/>
      <w:r>
        <w:rPr>
          <w:rFonts w:ascii="Calibri" w:eastAsia="Calibri" w:hAnsi="Calibri" w:cs="Calibri"/>
          <w:sz w:val="20"/>
          <w:szCs w:val="20"/>
        </w:rPr>
        <w:t>)</w:t>
      </w:r>
    </w:p>
    <w:p w14:paraId="0A6DAD1F" w14:textId="77777777" w:rsidR="00481D1E" w:rsidRDefault="00481D1E" w:rsidP="00481D1E">
      <w:pPr>
        <w:numPr>
          <w:ilvl w:val="1"/>
          <w:numId w:val="11"/>
        </w:numPr>
        <w:spacing w:line="276" w:lineRule="auto"/>
        <w:rPr>
          <w:rFonts w:ascii="Calibri" w:eastAsia="Calibri" w:hAnsi="Calibri" w:cs="Calibri"/>
          <w:sz w:val="20"/>
          <w:szCs w:val="20"/>
        </w:rPr>
      </w:pPr>
      <w:r>
        <w:rPr>
          <w:rFonts w:ascii="Calibri" w:eastAsia="Calibri" w:hAnsi="Calibri" w:cs="Calibri"/>
          <w:sz w:val="20"/>
          <w:szCs w:val="20"/>
        </w:rPr>
        <w:t>dark cells (basophils): secretory/zymogen granules (lipase, amylase, trypsin), analogous to exocrine pancreas</w:t>
      </w:r>
    </w:p>
    <w:p w14:paraId="2C974299" w14:textId="77777777" w:rsidR="00481D1E" w:rsidRDefault="00481D1E" w:rsidP="00481D1E">
      <w:pPr>
        <w:rPr>
          <w:rFonts w:ascii="Calibri" w:eastAsia="Calibri" w:hAnsi="Calibri" w:cs="Calibri"/>
          <w:sz w:val="20"/>
          <w:szCs w:val="20"/>
        </w:rPr>
      </w:pPr>
      <w:r>
        <w:rPr>
          <w:rFonts w:ascii="Calibri" w:eastAsia="Calibri" w:hAnsi="Calibri" w:cs="Calibri"/>
          <w:noProof/>
          <w:sz w:val="20"/>
          <w:szCs w:val="20"/>
        </w:rPr>
        <w:lastRenderedPageBreak/>
        <w:drawing>
          <wp:inline distT="114300" distB="114300" distL="114300" distR="114300" wp14:anchorId="021D2613" wp14:editId="334A652B">
            <wp:extent cx="4240927" cy="2090738"/>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a:stretch>
                      <a:fillRect/>
                    </a:stretch>
                  </pic:blipFill>
                  <pic:spPr>
                    <a:xfrm>
                      <a:off x="0" y="0"/>
                      <a:ext cx="4240927" cy="2090738"/>
                    </a:xfrm>
                    <a:prstGeom prst="rect">
                      <a:avLst/>
                    </a:prstGeom>
                    <a:ln/>
                  </pic:spPr>
                </pic:pic>
              </a:graphicData>
            </a:graphic>
          </wp:inline>
        </w:drawing>
      </w:r>
    </w:p>
    <w:p w14:paraId="41E2B43C" w14:textId="77777777" w:rsidR="00481D1E" w:rsidRDefault="00481D1E" w:rsidP="00481D1E">
      <w:pPr>
        <w:rPr>
          <w:rFonts w:ascii="Calibri" w:eastAsia="Calibri" w:hAnsi="Calibri" w:cs="Calibri"/>
          <w:b/>
          <w:sz w:val="20"/>
          <w:szCs w:val="20"/>
        </w:rPr>
      </w:pPr>
      <w:r w:rsidRPr="00085A20">
        <w:rPr>
          <w:rFonts w:ascii="Calibri" w:eastAsia="Calibri" w:hAnsi="Calibri" w:cs="Calibri"/>
          <w:noProof/>
          <w:sz w:val="20"/>
          <w:szCs w:val="20"/>
        </w:rPr>
        <mc:AlternateContent>
          <mc:Choice Requires="wps">
            <w:drawing>
              <wp:anchor distT="45720" distB="45720" distL="114300" distR="114300" simplePos="0" relativeHeight="251664384" behindDoc="0" locked="0" layoutInCell="1" allowOverlap="1" wp14:anchorId="4817FA4A" wp14:editId="5AE9C74B">
                <wp:simplePos x="0" y="0"/>
                <wp:positionH relativeFrom="column">
                  <wp:posOffset>4814570</wp:posOffset>
                </wp:positionH>
                <wp:positionV relativeFrom="paragraph">
                  <wp:posOffset>109538</wp:posOffset>
                </wp:positionV>
                <wp:extent cx="1162050" cy="290513"/>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90513"/>
                        </a:xfrm>
                        <a:prstGeom prst="rect">
                          <a:avLst/>
                        </a:prstGeom>
                        <a:solidFill>
                          <a:srgbClr val="FFFFFF">
                            <a:alpha val="74902"/>
                          </a:srgbClr>
                        </a:solidFill>
                        <a:ln w="9525">
                          <a:noFill/>
                          <a:miter lim="800000"/>
                          <a:headEnd/>
                          <a:tailEnd/>
                        </a:ln>
                      </wps:spPr>
                      <wps:txbx>
                        <w:txbxContent>
                          <w:p w14:paraId="05FB8A2F" w14:textId="77777777" w:rsidR="00481D1E" w:rsidRPr="00085A20" w:rsidRDefault="00481D1E" w:rsidP="00481D1E">
                            <w:pPr>
                              <w:rPr>
                                <w:rFonts w:asciiTheme="majorHAnsi" w:hAnsiTheme="majorHAnsi" w:cstheme="majorHAnsi"/>
                                <w:sz w:val="20"/>
                                <w:szCs w:val="20"/>
                              </w:rPr>
                            </w:pPr>
                            <w:r>
                              <w:rPr>
                                <w:rFonts w:asciiTheme="majorHAnsi" w:hAnsiTheme="majorHAnsi" w:cstheme="majorHAnsi"/>
                                <w:sz w:val="20"/>
                                <w:szCs w:val="20"/>
                              </w:rPr>
                              <w:t>Epicuticle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17FA4A" id="_x0000_s1029" type="#_x0000_t202" style="position:absolute;margin-left:379.1pt;margin-top:8.65pt;width:91.5pt;height:22.9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" stroked="f">
                <v:fill opacity="49087f"/>
                <v:textbox>
                  <w:txbxContent>
                    <w:p w14:paraId="05FB8A2F" w14:textId="77777777" w:rsidR="00481D1E" w:rsidRPr="00085A20" w:rsidRDefault="00481D1E" w:rsidP="00481D1E">
                      <w:pPr>
                        <w:rPr>
                          <w:rFonts w:asciiTheme="majorHAnsi" w:hAnsiTheme="majorHAnsi" w:cstheme="majorHAnsi"/>
                          <w:sz w:val="20"/>
                          <w:szCs w:val="20"/>
                        </w:rPr>
                      </w:pPr>
                      <w:r>
                        <w:rPr>
                          <w:rFonts w:asciiTheme="majorHAnsi" w:hAnsiTheme="majorHAnsi" w:cstheme="majorHAnsi"/>
                          <w:sz w:val="20"/>
                          <w:szCs w:val="20"/>
                        </w:rPr>
                        <w:t>Epicuticle</w:t>
                      </w:r>
                    </w:p>
                  </w:txbxContent>
                </v:textbox>
              </v:shape>
            </w:pict>
          </mc:Fallback>
        </mc:AlternateContent>
      </w:r>
      <w:r>
        <w:rPr>
          <w:rFonts w:ascii="Calibri" w:eastAsia="Calibri" w:hAnsi="Calibri" w:cs="Calibri"/>
          <w:b/>
          <w:sz w:val="20"/>
          <w:szCs w:val="20"/>
        </w:rPr>
        <w:t xml:space="preserve">Bacterial </w:t>
      </w:r>
      <w:proofErr w:type="spellStart"/>
      <w:r>
        <w:rPr>
          <w:rFonts w:ascii="Calibri" w:eastAsia="Calibri" w:hAnsi="Calibri" w:cs="Calibri"/>
          <w:b/>
          <w:sz w:val="20"/>
          <w:szCs w:val="20"/>
        </w:rPr>
        <w:t>tubulitis</w:t>
      </w:r>
      <w:proofErr w:type="spellEnd"/>
    </w:p>
    <w:p w14:paraId="312934AB" w14:textId="77777777" w:rsidR="00481D1E" w:rsidRDefault="00481D1E" w:rsidP="00481D1E">
      <w:pPr>
        <w:rPr>
          <w:rFonts w:ascii="Calibri" w:eastAsia="Calibri" w:hAnsi="Calibri" w:cs="Calibri"/>
          <w:sz w:val="20"/>
          <w:szCs w:val="20"/>
        </w:rPr>
      </w:pPr>
      <w:r w:rsidRPr="00085A20">
        <w:rPr>
          <w:rFonts w:ascii="Calibri" w:eastAsia="Calibri" w:hAnsi="Calibri" w:cs="Calibri"/>
          <w:noProof/>
          <w:sz w:val="20"/>
          <w:szCs w:val="20"/>
        </w:rPr>
        <mc:AlternateContent>
          <mc:Choice Requires="wps">
            <w:drawing>
              <wp:anchor distT="45720" distB="45720" distL="114300" distR="114300" simplePos="0" relativeHeight="251665408" behindDoc="0" locked="0" layoutInCell="1" allowOverlap="1" wp14:anchorId="558F5CFD" wp14:editId="77EF4075">
                <wp:simplePos x="0" y="0"/>
                <wp:positionH relativeFrom="column">
                  <wp:posOffset>4809807</wp:posOffset>
                </wp:positionH>
                <wp:positionV relativeFrom="paragraph">
                  <wp:posOffset>221615</wp:posOffset>
                </wp:positionV>
                <wp:extent cx="1162050" cy="290513"/>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90513"/>
                        </a:xfrm>
                        <a:prstGeom prst="rect">
                          <a:avLst/>
                        </a:prstGeom>
                        <a:solidFill>
                          <a:srgbClr val="FFFFFF">
                            <a:alpha val="74902"/>
                          </a:srgbClr>
                        </a:solidFill>
                        <a:ln w="9525">
                          <a:noFill/>
                          <a:miter lim="800000"/>
                          <a:headEnd/>
                          <a:tailEnd/>
                        </a:ln>
                      </wps:spPr>
                      <wps:txbx>
                        <w:txbxContent>
                          <w:p w14:paraId="3F19996B" w14:textId="77777777" w:rsidR="00481D1E" w:rsidRPr="00085A20" w:rsidRDefault="00481D1E" w:rsidP="00481D1E">
                            <w:pPr>
                              <w:rPr>
                                <w:rFonts w:asciiTheme="majorHAnsi" w:hAnsiTheme="majorHAnsi" w:cstheme="majorHAnsi"/>
                                <w:sz w:val="20"/>
                                <w:szCs w:val="20"/>
                              </w:rPr>
                            </w:pPr>
                            <w:r>
                              <w:rPr>
                                <w:rFonts w:asciiTheme="majorHAnsi" w:hAnsiTheme="majorHAnsi" w:cstheme="majorHAnsi"/>
                                <w:sz w:val="20"/>
                                <w:szCs w:val="20"/>
                              </w:rPr>
                              <w:t>Exocuticle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8F5CFD" id="_x0000_s1030" type="#_x0000_t202" style="position:absolute;margin-left:378.7pt;margin-top:17.45pt;width:91.5pt;height:22.9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" stroked="f">
                <v:fill opacity="49087f"/>
                <v:textbox>
                  <w:txbxContent>
                    <w:p w14:paraId="3F19996B" w14:textId="77777777" w:rsidR="00481D1E" w:rsidRPr="00085A20" w:rsidRDefault="00481D1E" w:rsidP="00481D1E">
                      <w:pPr>
                        <w:rPr>
                          <w:rFonts w:asciiTheme="majorHAnsi" w:hAnsiTheme="majorHAnsi" w:cstheme="majorHAnsi"/>
                          <w:sz w:val="20"/>
                          <w:szCs w:val="20"/>
                        </w:rPr>
                      </w:pPr>
                      <w:r>
                        <w:rPr>
                          <w:rFonts w:asciiTheme="majorHAnsi" w:hAnsiTheme="majorHAnsi" w:cstheme="majorHAnsi"/>
                          <w:sz w:val="20"/>
                          <w:szCs w:val="20"/>
                        </w:rPr>
                        <w:t>Exocuticle</w:t>
                      </w:r>
                    </w:p>
                  </w:txbxContent>
                </v:textbox>
              </v:shape>
            </w:pict>
          </mc:Fallback>
        </mc:AlternateContent>
      </w:r>
      <w:r>
        <w:rPr>
          <w:rFonts w:ascii="Calibri" w:eastAsia="Calibri" w:hAnsi="Calibri" w:cs="Calibri"/>
          <w:noProof/>
          <w:sz w:val="20"/>
          <w:szCs w:val="20"/>
        </w:rPr>
        <mc:AlternateContent>
          <mc:Choice Requires="wps">
            <w:drawing>
              <wp:anchor distT="0" distB="0" distL="114300" distR="114300" simplePos="0" relativeHeight="251673600" behindDoc="0" locked="0" layoutInCell="1" allowOverlap="1" wp14:anchorId="3088AD95" wp14:editId="06780852">
                <wp:simplePos x="0" y="0"/>
                <wp:positionH relativeFrom="column">
                  <wp:posOffset>4752657</wp:posOffset>
                </wp:positionH>
                <wp:positionV relativeFrom="paragraph">
                  <wp:posOffset>108585</wp:posOffset>
                </wp:positionV>
                <wp:extent cx="104775" cy="471488"/>
                <wp:effectExtent l="38100" t="38100" r="47625" b="100330"/>
                <wp:wrapNone/>
                <wp:docPr id="25" name="Right Brace 25"/>
                <wp:cNvGraphicFramePr/>
                <a:graphic xmlns:a="http://schemas.openxmlformats.org/drawingml/2006/main">
                  <a:graphicData uri="http://schemas.microsoft.com/office/word/2010/wordprocessingShape">
                    <wps:wsp>
                      <wps:cNvSpPr/>
                      <wps:spPr>
                        <a:xfrm>
                          <a:off x="0" y="0"/>
                          <a:ext cx="104775" cy="471488"/>
                        </a:xfrm>
                        <a:prstGeom prst="rightBrace">
                          <a:avLst/>
                        </a:prstGeom>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2B4CB6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5" o:spid="_x0000_s1026" type="#_x0000_t88" style="position:absolute;margin-left:374.2pt;margin-top:8.55pt;width:8.25pt;height:37.1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" adj="400" strokecolor="black [3200]" strokeweight="2pt">
                <v:shadow on="t" color="black" opacity="24903f" origin=",.5" offset="0,.55556mm"/>
              </v:shape>
            </w:pict>
          </mc:Fallback>
        </mc:AlternateContent>
      </w:r>
      <w:r>
        <w:rPr>
          <w:rFonts w:ascii="Calibri" w:eastAsia="Calibri" w:hAnsi="Calibri" w:cs="Calibri"/>
          <w:noProof/>
          <w:sz w:val="20"/>
          <w:szCs w:val="20"/>
        </w:rPr>
        <mc:AlternateContent>
          <mc:Choice Requires="wps">
            <w:drawing>
              <wp:anchor distT="0" distB="0" distL="114300" distR="114300" simplePos="0" relativeHeight="251672576" behindDoc="0" locked="0" layoutInCell="1" allowOverlap="1" wp14:anchorId="45E3E770" wp14:editId="53328FA0">
                <wp:simplePos x="0" y="0"/>
                <wp:positionH relativeFrom="column">
                  <wp:posOffset>4438649</wp:posOffset>
                </wp:positionH>
                <wp:positionV relativeFrom="paragraph">
                  <wp:posOffset>794385</wp:posOffset>
                </wp:positionV>
                <wp:extent cx="456883" cy="80963"/>
                <wp:effectExtent l="57150" t="38100" r="57785" b="109855"/>
                <wp:wrapNone/>
                <wp:docPr id="24" name="Straight Arrow Connector 24"/>
                <wp:cNvGraphicFramePr/>
                <a:graphic xmlns:a="http://schemas.openxmlformats.org/drawingml/2006/main">
                  <a:graphicData uri="http://schemas.microsoft.com/office/word/2010/wordprocessingShape">
                    <wps:wsp>
                      <wps:cNvCnPr/>
                      <wps:spPr>
                        <a:xfrm flipH="1">
                          <a:off x="0" y="0"/>
                          <a:ext cx="456883" cy="8096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1E636C" id="Straight Arrow Connector 24" o:spid="_x0000_s1026" type="#_x0000_t32" style="position:absolute;margin-left:349.5pt;margin-top:62.55pt;width:36pt;height:6.4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" strokecolor="black [3200]" strokeweight="2pt">
                <v:stroke endarrow="block"/>
                <v:shadow on="t" color="black" opacity="24903f" origin=",.5" offset="0,.55556mm"/>
              </v:shape>
            </w:pict>
          </mc:Fallback>
        </mc:AlternateContent>
      </w:r>
      <w:r>
        <w:rPr>
          <w:rFonts w:ascii="Calibri" w:eastAsia="Calibri" w:hAnsi="Calibri" w:cs="Calibri"/>
          <w:noProof/>
          <w:sz w:val="20"/>
          <w:szCs w:val="20"/>
        </w:rPr>
        <mc:AlternateContent>
          <mc:Choice Requires="wps">
            <w:drawing>
              <wp:anchor distT="0" distB="0" distL="114300" distR="114300" simplePos="0" relativeHeight="251671552" behindDoc="0" locked="0" layoutInCell="1" allowOverlap="1" wp14:anchorId="55BCC218" wp14:editId="456EEBCF">
                <wp:simplePos x="0" y="0"/>
                <wp:positionH relativeFrom="column">
                  <wp:posOffset>4752975</wp:posOffset>
                </wp:positionH>
                <wp:positionV relativeFrom="paragraph">
                  <wp:posOffset>694372</wp:posOffset>
                </wp:positionV>
                <wp:extent cx="133350" cy="71437"/>
                <wp:effectExtent l="38100" t="38100" r="57150" b="81280"/>
                <wp:wrapNone/>
                <wp:docPr id="23" name="Straight Arrow Connector 23"/>
                <wp:cNvGraphicFramePr/>
                <a:graphic xmlns:a="http://schemas.openxmlformats.org/drawingml/2006/main">
                  <a:graphicData uri="http://schemas.microsoft.com/office/word/2010/wordprocessingShape">
                    <wps:wsp>
                      <wps:cNvCnPr/>
                      <wps:spPr>
                        <a:xfrm flipH="1" flipV="1">
                          <a:off x="0" y="0"/>
                          <a:ext cx="133350" cy="71437"/>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A1E954" id="Straight Arrow Connector 23" o:spid="_x0000_s1026" type="#_x0000_t32" style="position:absolute;margin-left:374.25pt;margin-top:54.65pt;width:10.5pt;height:5.6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" strokecolor="black [3200]" strokeweight="2pt">
                <v:stroke endarrow="block"/>
                <v:shadow on="t" color="black" opacity="24903f" origin=",.5" offset="0,.55556mm"/>
              </v:shape>
            </w:pict>
          </mc:Fallback>
        </mc:AlternateContent>
      </w:r>
      <w:r>
        <w:rPr>
          <w:rFonts w:ascii="Calibri" w:eastAsia="Calibri" w:hAnsi="Calibri" w:cs="Calibri"/>
          <w:noProof/>
          <w:sz w:val="20"/>
          <w:szCs w:val="20"/>
        </w:rPr>
        <mc:AlternateContent>
          <mc:Choice Requires="wps">
            <w:drawing>
              <wp:anchor distT="0" distB="0" distL="114300" distR="114300" simplePos="0" relativeHeight="251670528" behindDoc="0" locked="0" layoutInCell="1" allowOverlap="1" wp14:anchorId="4B593CEA" wp14:editId="3982B93F">
                <wp:simplePos x="0" y="0"/>
                <wp:positionH relativeFrom="column">
                  <wp:posOffset>4728845</wp:posOffset>
                </wp:positionH>
                <wp:positionV relativeFrom="paragraph">
                  <wp:posOffset>626428</wp:posOffset>
                </wp:positionV>
                <wp:extent cx="161925" cy="0"/>
                <wp:effectExtent l="57150" t="76200" r="9525" b="133350"/>
                <wp:wrapNone/>
                <wp:docPr id="22" name="Straight Arrow Connector 22"/>
                <wp:cNvGraphicFramePr/>
                <a:graphic xmlns:a="http://schemas.openxmlformats.org/drawingml/2006/main">
                  <a:graphicData uri="http://schemas.microsoft.com/office/word/2010/wordprocessingShape">
                    <wps:wsp>
                      <wps:cNvCnPr/>
                      <wps:spPr>
                        <a:xfrm flipH="1">
                          <a:off x="0" y="0"/>
                          <a:ext cx="161925"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3AC513A" id="Straight Arrow Connector 22" o:spid="_x0000_s1026" type="#_x0000_t32" style="position:absolute;margin-left:372.35pt;margin-top:49.35pt;width:12.75pt;height:0;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" strokecolor="black [3200]" strokeweight="2pt">
                <v:stroke endarrow="block"/>
                <v:shadow on="t" color="black" opacity="24903f" origin=",.5" offset="0,.55556mm"/>
              </v:shape>
            </w:pict>
          </mc:Fallback>
        </mc:AlternateContent>
      </w:r>
      <w:r>
        <w:rPr>
          <w:rFonts w:ascii="Calibri" w:eastAsia="Calibri" w:hAnsi="Calibri" w:cs="Calibri"/>
          <w:noProof/>
          <w:sz w:val="20"/>
          <w:szCs w:val="20"/>
        </w:rPr>
        <mc:AlternateContent>
          <mc:Choice Requires="wps">
            <w:drawing>
              <wp:anchor distT="0" distB="0" distL="114300" distR="114300" simplePos="0" relativeHeight="251669504" behindDoc="0" locked="0" layoutInCell="1" allowOverlap="1" wp14:anchorId="6709705D" wp14:editId="70288EC0">
                <wp:simplePos x="0" y="0"/>
                <wp:positionH relativeFrom="column">
                  <wp:posOffset>4724400</wp:posOffset>
                </wp:positionH>
                <wp:positionV relativeFrom="paragraph">
                  <wp:posOffset>41910</wp:posOffset>
                </wp:positionV>
                <wp:extent cx="161925" cy="0"/>
                <wp:effectExtent l="57150" t="76200" r="9525" b="133350"/>
                <wp:wrapNone/>
                <wp:docPr id="20" name="Straight Arrow Connector 20"/>
                <wp:cNvGraphicFramePr/>
                <a:graphic xmlns:a="http://schemas.openxmlformats.org/drawingml/2006/main">
                  <a:graphicData uri="http://schemas.microsoft.com/office/word/2010/wordprocessingShape">
                    <wps:wsp>
                      <wps:cNvCnPr/>
                      <wps:spPr>
                        <a:xfrm flipH="1">
                          <a:off x="0" y="0"/>
                          <a:ext cx="161925"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089B42EC" id="Straight Arrow Connector 20" o:spid="_x0000_s1026" type="#_x0000_t32" style="position:absolute;margin-left:372pt;margin-top:3.3pt;width:12.75pt;height:0;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" strokecolor="black [3200]" strokeweight="2pt">
                <v:stroke endarrow="block"/>
                <v:shadow on="t" color="black" opacity="24903f" origin=",.5" offset="0,.55556mm"/>
              </v:shape>
            </w:pict>
          </mc:Fallback>
        </mc:AlternateContent>
      </w:r>
      <w:r w:rsidRPr="00085A20">
        <w:rPr>
          <w:rFonts w:ascii="Calibri" w:eastAsia="Calibri" w:hAnsi="Calibri" w:cs="Calibri"/>
          <w:noProof/>
          <w:sz w:val="20"/>
          <w:szCs w:val="20"/>
        </w:rPr>
        <mc:AlternateContent>
          <mc:Choice Requires="wps">
            <w:drawing>
              <wp:anchor distT="45720" distB="45720" distL="114300" distR="114300" simplePos="0" relativeHeight="251668480" behindDoc="0" locked="0" layoutInCell="1" allowOverlap="1" wp14:anchorId="5EF95C53" wp14:editId="1F57D0AB">
                <wp:simplePos x="0" y="0"/>
                <wp:positionH relativeFrom="column">
                  <wp:posOffset>4886007</wp:posOffset>
                </wp:positionH>
                <wp:positionV relativeFrom="paragraph">
                  <wp:posOffset>1218247</wp:posOffset>
                </wp:positionV>
                <wp:extent cx="1162050" cy="290513"/>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90513"/>
                        </a:xfrm>
                        <a:prstGeom prst="rect">
                          <a:avLst/>
                        </a:prstGeom>
                        <a:solidFill>
                          <a:srgbClr val="FFFFFF">
                            <a:alpha val="74902"/>
                          </a:srgbClr>
                        </a:solidFill>
                        <a:ln w="9525">
                          <a:noFill/>
                          <a:miter lim="800000"/>
                          <a:headEnd/>
                          <a:tailEnd/>
                        </a:ln>
                      </wps:spPr>
                      <wps:txbx>
                        <w:txbxContent>
                          <w:p w14:paraId="55407E4C" w14:textId="77777777" w:rsidR="00481D1E" w:rsidRPr="00085A20" w:rsidRDefault="00481D1E" w:rsidP="00481D1E">
                            <w:pPr>
                              <w:rPr>
                                <w:rFonts w:asciiTheme="majorHAnsi" w:hAnsiTheme="majorHAnsi" w:cstheme="majorHAnsi"/>
                                <w:sz w:val="20"/>
                                <w:szCs w:val="20"/>
                              </w:rPr>
                            </w:pPr>
                            <w:r>
                              <w:rPr>
                                <w:rFonts w:asciiTheme="majorHAnsi" w:hAnsiTheme="majorHAnsi" w:cstheme="majorHAnsi"/>
                                <w:sz w:val="20"/>
                                <w:szCs w:val="20"/>
                              </w:rPr>
                              <w:t>Dermis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95C53" id="_x0000_s1031" type="#_x0000_t202" style="position:absolute;margin-left:384.7pt;margin-top:95.9pt;width:91.5pt;height:22.9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" stroked="f">
                <v:fill opacity="49087f"/>
                <v:textbox>
                  <w:txbxContent>
                    <w:p w14:paraId="55407E4C" w14:textId="77777777" w:rsidR="00481D1E" w:rsidRPr="00085A20" w:rsidRDefault="00481D1E" w:rsidP="00481D1E">
                      <w:pPr>
                        <w:rPr>
                          <w:rFonts w:asciiTheme="majorHAnsi" w:hAnsiTheme="majorHAnsi" w:cstheme="majorHAnsi"/>
                          <w:sz w:val="20"/>
                          <w:szCs w:val="20"/>
                        </w:rPr>
                      </w:pPr>
                      <w:r>
                        <w:rPr>
                          <w:rFonts w:asciiTheme="majorHAnsi" w:hAnsiTheme="majorHAnsi" w:cstheme="majorHAnsi"/>
                          <w:sz w:val="20"/>
                          <w:szCs w:val="20"/>
                        </w:rPr>
                        <w:t>Dermis</w:t>
                      </w:r>
                    </w:p>
                  </w:txbxContent>
                </v:textbox>
              </v:shape>
            </w:pict>
          </mc:Fallback>
        </mc:AlternateContent>
      </w:r>
      <w:r w:rsidRPr="00085A20">
        <w:rPr>
          <w:rFonts w:ascii="Calibri" w:eastAsia="Calibri" w:hAnsi="Calibri" w:cs="Calibri"/>
          <w:noProof/>
          <w:sz w:val="20"/>
          <w:szCs w:val="20"/>
        </w:rPr>
        <mc:AlternateContent>
          <mc:Choice Requires="wps">
            <w:drawing>
              <wp:anchor distT="45720" distB="45720" distL="114300" distR="114300" simplePos="0" relativeHeight="251667456" behindDoc="0" locked="0" layoutInCell="1" allowOverlap="1" wp14:anchorId="06ECF4E9" wp14:editId="4B7C3861">
                <wp:simplePos x="0" y="0"/>
                <wp:positionH relativeFrom="column">
                  <wp:posOffset>4833620</wp:posOffset>
                </wp:positionH>
                <wp:positionV relativeFrom="paragraph">
                  <wp:posOffset>661035</wp:posOffset>
                </wp:positionV>
                <wp:extent cx="1162050" cy="290513"/>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90513"/>
                        </a:xfrm>
                        <a:prstGeom prst="rect">
                          <a:avLst/>
                        </a:prstGeom>
                        <a:solidFill>
                          <a:srgbClr val="FFFFFF">
                            <a:alpha val="74902"/>
                          </a:srgbClr>
                        </a:solidFill>
                        <a:ln w="9525">
                          <a:noFill/>
                          <a:miter lim="800000"/>
                          <a:headEnd/>
                          <a:tailEnd/>
                        </a:ln>
                      </wps:spPr>
                      <wps:txbx>
                        <w:txbxContent>
                          <w:p w14:paraId="1DCAE01C" w14:textId="77777777" w:rsidR="00481D1E" w:rsidRPr="00085A20" w:rsidRDefault="00481D1E" w:rsidP="00481D1E">
                            <w:pPr>
                              <w:rPr>
                                <w:rFonts w:asciiTheme="majorHAnsi" w:hAnsiTheme="majorHAnsi" w:cstheme="majorHAnsi"/>
                                <w:sz w:val="20"/>
                                <w:szCs w:val="20"/>
                              </w:rPr>
                            </w:pPr>
                            <w:r>
                              <w:rPr>
                                <w:rFonts w:asciiTheme="majorHAnsi" w:hAnsiTheme="majorHAnsi" w:cstheme="majorHAnsi"/>
                                <w:sz w:val="20"/>
                                <w:szCs w:val="20"/>
                              </w:rPr>
                              <w:t>Epidermis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CF4E9" id="_x0000_s1032" type="#_x0000_t202" style="position:absolute;margin-left:380.6pt;margin-top:52.05pt;width:91.5pt;height:22.9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" stroked="f">
                <v:fill opacity="49087f"/>
                <v:textbox>
                  <w:txbxContent>
                    <w:p w14:paraId="1DCAE01C" w14:textId="77777777" w:rsidR="00481D1E" w:rsidRPr="00085A20" w:rsidRDefault="00481D1E" w:rsidP="00481D1E">
                      <w:pPr>
                        <w:rPr>
                          <w:rFonts w:asciiTheme="majorHAnsi" w:hAnsiTheme="majorHAnsi" w:cstheme="majorHAnsi"/>
                          <w:sz w:val="20"/>
                          <w:szCs w:val="20"/>
                        </w:rPr>
                      </w:pPr>
                      <w:r>
                        <w:rPr>
                          <w:rFonts w:asciiTheme="majorHAnsi" w:hAnsiTheme="majorHAnsi" w:cstheme="majorHAnsi"/>
                          <w:sz w:val="20"/>
                          <w:szCs w:val="20"/>
                        </w:rPr>
                        <w:t>Epidermis</w:t>
                      </w:r>
                    </w:p>
                  </w:txbxContent>
                </v:textbox>
              </v:shape>
            </w:pict>
          </mc:Fallback>
        </mc:AlternateContent>
      </w:r>
      <w:r w:rsidRPr="00085A20">
        <w:rPr>
          <w:rFonts w:ascii="Calibri" w:eastAsia="Calibri" w:hAnsi="Calibri" w:cs="Calibri"/>
          <w:noProof/>
          <w:sz w:val="20"/>
          <w:szCs w:val="20"/>
        </w:rPr>
        <mc:AlternateContent>
          <mc:Choice Requires="wps">
            <w:drawing>
              <wp:anchor distT="45720" distB="45720" distL="114300" distR="114300" simplePos="0" relativeHeight="251666432" behindDoc="0" locked="0" layoutInCell="1" allowOverlap="1" wp14:anchorId="778BC1BE" wp14:editId="4794946D">
                <wp:simplePos x="0" y="0"/>
                <wp:positionH relativeFrom="column">
                  <wp:posOffset>4824095</wp:posOffset>
                </wp:positionH>
                <wp:positionV relativeFrom="paragraph">
                  <wp:posOffset>469900</wp:posOffset>
                </wp:positionV>
                <wp:extent cx="1162050" cy="290513"/>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90513"/>
                        </a:xfrm>
                        <a:prstGeom prst="rect">
                          <a:avLst/>
                        </a:prstGeom>
                        <a:solidFill>
                          <a:srgbClr val="FFFFFF">
                            <a:alpha val="74902"/>
                          </a:srgbClr>
                        </a:solidFill>
                        <a:ln w="9525">
                          <a:noFill/>
                          <a:miter lim="800000"/>
                          <a:headEnd/>
                          <a:tailEnd/>
                        </a:ln>
                      </wps:spPr>
                      <wps:txbx>
                        <w:txbxContent>
                          <w:p w14:paraId="428E2DD3" w14:textId="77777777" w:rsidR="00481D1E" w:rsidRPr="00085A20" w:rsidRDefault="00481D1E" w:rsidP="00481D1E">
                            <w:pPr>
                              <w:rPr>
                                <w:rFonts w:asciiTheme="majorHAnsi" w:hAnsiTheme="majorHAnsi" w:cstheme="majorHAnsi"/>
                                <w:sz w:val="20"/>
                                <w:szCs w:val="20"/>
                              </w:rPr>
                            </w:pPr>
                            <w:r>
                              <w:rPr>
                                <w:rFonts w:asciiTheme="majorHAnsi" w:hAnsiTheme="majorHAnsi" w:cstheme="majorHAnsi"/>
                                <w:sz w:val="20"/>
                                <w:szCs w:val="20"/>
                              </w:rPr>
                              <w:t>Endocuticle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8BC1BE" id="_x0000_s1033" type="#_x0000_t202" style="position:absolute;margin-left:379.85pt;margin-top:37pt;width:91.5pt;height:22.9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" stroked="f">
                <v:fill opacity="49087f"/>
                <v:textbox>
                  <w:txbxContent>
                    <w:p w14:paraId="428E2DD3" w14:textId="77777777" w:rsidR="00481D1E" w:rsidRPr="00085A20" w:rsidRDefault="00481D1E" w:rsidP="00481D1E">
                      <w:pPr>
                        <w:rPr>
                          <w:rFonts w:asciiTheme="majorHAnsi" w:hAnsiTheme="majorHAnsi" w:cstheme="majorHAnsi"/>
                          <w:sz w:val="20"/>
                          <w:szCs w:val="20"/>
                        </w:rPr>
                      </w:pPr>
                      <w:r>
                        <w:rPr>
                          <w:rFonts w:asciiTheme="majorHAnsi" w:hAnsiTheme="majorHAnsi" w:cstheme="majorHAnsi"/>
                          <w:sz w:val="20"/>
                          <w:szCs w:val="20"/>
                        </w:rPr>
                        <w:t>Endocuticle</w:t>
                      </w:r>
                    </w:p>
                  </w:txbxContent>
                </v:textbox>
              </v:shape>
            </w:pict>
          </mc:Fallback>
        </mc:AlternateContent>
      </w:r>
      <w:r>
        <w:rPr>
          <w:rFonts w:ascii="Calibri" w:eastAsia="Calibri" w:hAnsi="Calibri" w:cs="Calibri"/>
          <w:noProof/>
          <w:sz w:val="20"/>
          <w:szCs w:val="20"/>
        </w:rPr>
        <w:drawing>
          <wp:inline distT="114300" distB="114300" distL="114300" distR="114300" wp14:anchorId="2A0F03EC" wp14:editId="1D1644E9">
            <wp:extent cx="4732102" cy="2128838"/>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4732102" cy="2128838"/>
                    </a:xfrm>
                    <a:prstGeom prst="rect">
                      <a:avLst/>
                    </a:prstGeom>
                    <a:ln/>
                  </pic:spPr>
                </pic:pic>
              </a:graphicData>
            </a:graphic>
          </wp:inline>
        </w:drawing>
      </w:r>
      <w:r>
        <w:rPr>
          <w:rFonts w:ascii="Calibri" w:eastAsia="Calibri" w:hAnsi="Calibri" w:cs="Calibri"/>
          <w:sz w:val="20"/>
          <w:szCs w:val="20"/>
        </w:rPr>
        <w:t xml:space="preserve"> </w:t>
      </w:r>
    </w:p>
    <w:p w14:paraId="14D659EB" w14:textId="77777777" w:rsidR="00481D1E" w:rsidRDefault="00481D1E" w:rsidP="00481D1E">
      <w:pPr>
        <w:rPr>
          <w:rFonts w:ascii="Calibri" w:eastAsia="Calibri" w:hAnsi="Calibri" w:cs="Calibri"/>
          <w:b/>
          <w:sz w:val="20"/>
          <w:szCs w:val="20"/>
        </w:rPr>
      </w:pPr>
      <w:r>
        <w:rPr>
          <w:rFonts w:ascii="Calibri" w:eastAsia="Calibri" w:hAnsi="Calibri" w:cs="Calibri"/>
          <w:b/>
          <w:sz w:val="20"/>
          <w:szCs w:val="20"/>
        </w:rPr>
        <w:t>Body wall:</w:t>
      </w:r>
    </w:p>
    <w:p w14:paraId="7E443F05" w14:textId="77777777" w:rsidR="00481D1E" w:rsidRDefault="00481D1E" w:rsidP="00481D1E">
      <w:pPr>
        <w:rPr>
          <w:rFonts w:ascii="Calibri" w:eastAsia="Calibri" w:hAnsi="Calibri" w:cs="Calibri"/>
          <w:sz w:val="20"/>
          <w:szCs w:val="20"/>
        </w:rPr>
      </w:pPr>
      <w:r>
        <w:rPr>
          <w:rFonts w:ascii="Calibri" w:eastAsia="Calibri" w:hAnsi="Calibri" w:cs="Calibri"/>
          <w:sz w:val="20"/>
          <w:szCs w:val="20"/>
        </w:rPr>
        <w:t>Cuticle</w:t>
      </w:r>
      <w:r>
        <w:rPr>
          <w:rFonts w:ascii="Calibri" w:eastAsia="Calibri" w:hAnsi="Calibri" w:cs="Calibri"/>
          <w:b/>
          <w:sz w:val="20"/>
          <w:szCs w:val="20"/>
        </w:rPr>
        <w:t xml:space="preserve"> </w:t>
      </w:r>
    </w:p>
    <w:p w14:paraId="1B329AEE" w14:textId="77777777" w:rsidR="00481D1E" w:rsidRDefault="00481D1E" w:rsidP="00481D1E">
      <w:pPr>
        <w:numPr>
          <w:ilvl w:val="0"/>
          <w:numId w:val="7"/>
        </w:numPr>
        <w:spacing w:line="276" w:lineRule="auto"/>
        <w:rPr>
          <w:rFonts w:ascii="Calibri" w:eastAsia="Calibri" w:hAnsi="Calibri" w:cs="Calibri"/>
          <w:sz w:val="20"/>
          <w:szCs w:val="20"/>
        </w:rPr>
      </w:pPr>
      <w:r>
        <w:rPr>
          <w:rFonts w:ascii="Calibri" w:eastAsia="Calibri" w:hAnsi="Calibri" w:cs="Calibri"/>
          <w:sz w:val="20"/>
          <w:szCs w:val="20"/>
        </w:rPr>
        <w:t>Epicuticle: thin, acellular</w:t>
      </w:r>
    </w:p>
    <w:p w14:paraId="7F6E5687" w14:textId="77777777" w:rsidR="00481D1E" w:rsidRDefault="00481D1E" w:rsidP="00481D1E">
      <w:pPr>
        <w:numPr>
          <w:ilvl w:val="0"/>
          <w:numId w:val="7"/>
        </w:numPr>
        <w:spacing w:line="276" w:lineRule="auto"/>
        <w:rPr>
          <w:rFonts w:ascii="Calibri" w:eastAsia="Calibri" w:hAnsi="Calibri" w:cs="Calibri"/>
          <w:sz w:val="20"/>
          <w:szCs w:val="20"/>
        </w:rPr>
      </w:pPr>
      <w:r>
        <w:rPr>
          <w:rFonts w:ascii="Calibri" w:eastAsia="Calibri" w:hAnsi="Calibri" w:cs="Calibri"/>
          <w:sz w:val="20"/>
          <w:szCs w:val="20"/>
        </w:rPr>
        <w:t>Exocuticle: thick, chitinous, acellular</w:t>
      </w:r>
    </w:p>
    <w:p w14:paraId="46FA707B" w14:textId="77777777" w:rsidR="00481D1E" w:rsidRDefault="00481D1E" w:rsidP="00481D1E">
      <w:pPr>
        <w:numPr>
          <w:ilvl w:val="0"/>
          <w:numId w:val="7"/>
        </w:numPr>
        <w:spacing w:line="276" w:lineRule="auto"/>
        <w:rPr>
          <w:rFonts w:ascii="Calibri" w:eastAsia="Calibri" w:hAnsi="Calibri" w:cs="Calibri"/>
          <w:sz w:val="20"/>
          <w:szCs w:val="20"/>
        </w:rPr>
      </w:pPr>
      <w:r>
        <w:rPr>
          <w:rFonts w:ascii="Calibri" w:eastAsia="Calibri" w:hAnsi="Calibri" w:cs="Calibri"/>
          <w:sz w:val="20"/>
          <w:szCs w:val="20"/>
        </w:rPr>
        <w:t>Endocuticle: strongly eosinophilic</w:t>
      </w:r>
    </w:p>
    <w:p w14:paraId="10B9E6D8" w14:textId="77777777" w:rsidR="00481D1E" w:rsidRDefault="00481D1E" w:rsidP="00481D1E">
      <w:pPr>
        <w:rPr>
          <w:rFonts w:ascii="Calibri" w:eastAsia="Calibri" w:hAnsi="Calibri" w:cs="Calibri"/>
          <w:sz w:val="20"/>
          <w:szCs w:val="20"/>
        </w:rPr>
      </w:pPr>
      <w:r>
        <w:rPr>
          <w:rFonts w:ascii="Calibri" w:eastAsia="Calibri" w:hAnsi="Calibri" w:cs="Calibri"/>
          <w:sz w:val="20"/>
          <w:szCs w:val="20"/>
        </w:rPr>
        <w:t xml:space="preserve">Epidermis: </w:t>
      </w:r>
      <w:proofErr w:type="spellStart"/>
      <w:r>
        <w:rPr>
          <w:rFonts w:ascii="Calibri" w:eastAsia="Calibri" w:hAnsi="Calibri" w:cs="Calibri"/>
          <w:sz w:val="20"/>
          <w:szCs w:val="20"/>
        </w:rPr>
        <w:t>melanized</w:t>
      </w:r>
      <w:proofErr w:type="spellEnd"/>
      <w:r>
        <w:rPr>
          <w:rFonts w:ascii="Calibri" w:eastAsia="Calibri" w:hAnsi="Calibri" w:cs="Calibri"/>
          <w:sz w:val="20"/>
          <w:szCs w:val="20"/>
        </w:rPr>
        <w:t xml:space="preserve"> columnar cells</w:t>
      </w:r>
    </w:p>
    <w:p w14:paraId="46D99CDF" w14:textId="77777777" w:rsidR="00481D1E" w:rsidRDefault="00481D1E" w:rsidP="00481D1E">
      <w:pPr>
        <w:rPr>
          <w:rFonts w:ascii="Calibri" w:eastAsia="Calibri" w:hAnsi="Calibri" w:cs="Calibri"/>
          <w:sz w:val="20"/>
          <w:szCs w:val="20"/>
        </w:rPr>
      </w:pPr>
      <w:r>
        <w:rPr>
          <w:rFonts w:ascii="Calibri" w:eastAsia="Calibri" w:hAnsi="Calibri" w:cs="Calibri"/>
          <w:sz w:val="20"/>
          <w:szCs w:val="20"/>
        </w:rPr>
        <w:t>Dermis: with secretory glands (arrowhead)</w:t>
      </w:r>
    </w:p>
    <w:p w14:paraId="2563FDE4" w14:textId="77777777" w:rsidR="00481D1E" w:rsidRDefault="00481D1E" w:rsidP="00481D1E">
      <w:pPr>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114300" distR="114300" simplePos="0" relativeHeight="251674624" behindDoc="0" locked="0" layoutInCell="1" allowOverlap="1" wp14:anchorId="7A5E5FC1" wp14:editId="118C6966">
                <wp:simplePos x="0" y="0"/>
                <wp:positionH relativeFrom="column">
                  <wp:posOffset>1295400</wp:posOffset>
                </wp:positionH>
                <wp:positionV relativeFrom="paragraph">
                  <wp:posOffset>185420</wp:posOffset>
                </wp:positionV>
                <wp:extent cx="428625" cy="752475"/>
                <wp:effectExtent l="57150" t="38100" r="47625" b="85725"/>
                <wp:wrapNone/>
                <wp:docPr id="26" name="Straight Arrow Connector 26"/>
                <wp:cNvGraphicFramePr/>
                <a:graphic xmlns:a="http://schemas.openxmlformats.org/drawingml/2006/main">
                  <a:graphicData uri="http://schemas.microsoft.com/office/word/2010/wordprocessingShape">
                    <wps:wsp>
                      <wps:cNvCnPr/>
                      <wps:spPr>
                        <a:xfrm flipV="1">
                          <a:off x="0" y="0"/>
                          <a:ext cx="428625" cy="7524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0A80933D" id="Straight Arrow Connector 26" o:spid="_x0000_s1026" type="#_x0000_t32" style="position:absolute;margin-left:102pt;margin-top:14.6pt;width:33.75pt;height:59.25pt;flip:y;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" strokecolor="black [3200]" strokeweight="2pt">
                <v:stroke endarrow="block"/>
                <v:shadow on="t" color="black" opacity="24903f" origin=",.5" offset="0,.55556mm"/>
              </v:shape>
            </w:pict>
          </mc:Fallback>
        </mc:AlternateContent>
      </w:r>
      <w:r>
        <w:rPr>
          <w:rFonts w:ascii="Calibri" w:eastAsia="Calibri" w:hAnsi="Calibri" w:cs="Calibri"/>
          <w:noProof/>
          <w:sz w:val="20"/>
          <w:szCs w:val="20"/>
        </w:rPr>
        <w:drawing>
          <wp:inline distT="114300" distB="114300" distL="114300" distR="114300" wp14:anchorId="52B43250" wp14:editId="65FB131B">
            <wp:extent cx="3557588" cy="1961234"/>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3557588" cy="1961234"/>
                    </a:xfrm>
                    <a:prstGeom prst="rect">
                      <a:avLst/>
                    </a:prstGeom>
                    <a:ln/>
                  </pic:spPr>
                </pic:pic>
              </a:graphicData>
            </a:graphic>
          </wp:inline>
        </w:drawing>
      </w:r>
    </w:p>
    <w:p w14:paraId="080FD65E" w14:textId="77777777" w:rsidR="00481D1E" w:rsidRDefault="00481D1E" w:rsidP="00481D1E">
      <w:pPr>
        <w:rPr>
          <w:rFonts w:ascii="Calibri" w:eastAsia="Calibri" w:hAnsi="Calibri" w:cs="Calibri"/>
          <w:sz w:val="20"/>
          <w:szCs w:val="20"/>
        </w:rPr>
      </w:pPr>
      <w:proofErr w:type="spellStart"/>
      <w:r>
        <w:rPr>
          <w:rFonts w:ascii="Calibri" w:eastAsia="Calibri" w:hAnsi="Calibri" w:cs="Calibri"/>
          <w:b/>
          <w:sz w:val="20"/>
          <w:szCs w:val="20"/>
        </w:rPr>
        <w:t>Dysecdysis</w:t>
      </w:r>
      <w:proofErr w:type="spellEnd"/>
      <w:r>
        <w:rPr>
          <w:rFonts w:ascii="Calibri" w:eastAsia="Calibri" w:hAnsi="Calibri" w:cs="Calibri"/>
          <w:b/>
          <w:sz w:val="20"/>
          <w:szCs w:val="20"/>
        </w:rPr>
        <w:t xml:space="preserve"> </w:t>
      </w:r>
      <w:r>
        <w:rPr>
          <w:rFonts w:ascii="Calibri" w:eastAsia="Calibri" w:hAnsi="Calibri" w:cs="Calibri"/>
          <w:sz w:val="20"/>
          <w:szCs w:val="20"/>
        </w:rPr>
        <w:t>- retained cuticle (arrows)</w:t>
      </w:r>
    </w:p>
    <w:p w14:paraId="629F9303" w14:textId="77777777" w:rsidR="00481D1E" w:rsidRDefault="00481D1E" w:rsidP="00481D1E">
      <w:pPr>
        <w:rPr>
          <w:rFonts w:ascii="Calibri" w:eastAsia="Calibri" w:hAnsi="Calibri" w:cs="Calibri"/>
          <w:sz w:val="20"/>
          <w:szCs w:val="20"/>
        </w:rPr>
      </w:pPr>
      <w:r>
        <w:rPr>
          <w:rFonts w:ascii="Calibri" w:eastAsia="Calibri" w:hAnsi="Calibri" w:cs="Calibri"/>
          <w:noProof/>
          <w:sz w:val="20"/>
          <w:szCs w:val="20"/>
        </w:rPr>
        <w:lastRenderedPageBreak/>
        <w:drawing>
          <wp:inline distT="114300" distB="114300" distL="114300" distR="114300" wp14:anchorId="6C18F029" wp14:editId="13C250AE">
            <wp:extent cx="3827823" cy="2433638"/>
            <wp:effectExtent l="0" t="0" r="0" b="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3827823" cy="2433638"/>
                    </a:xfrm>
                    <a:prstGeom prst="rect">
                      <a:avLst/>
                    </a:prstGeom>
                    <a:ln/>
                  </pic:spPr>
                </pic:pic>
              </a:graphicData>
            </a:graphic>
          </wp:inline>
        </w:drawing>
      </w:r>
      <w:r>
        <w:rPr>
          <w:rFonts w:ascii="Calibri" w:eastAsia="Calibri" w:hAnsi="Calibri" w:cs="Calibri"/>
          <w:sz w:val="20"/>
          <w:szCs w:val="20"/>
        </w:rPr>
        <w:t xml:space="preserve"> </w:t>
      </w:r>
    </w:p>
    <w:p w14:paraId="1ED7C324" w14:textId="77777777" w:rsidR="00481D1E" w:rsidRDefault="00481D1E" w:rsidP="00481D1E">
      <w:pPr>
        <w:rPr>
          <w:rFonts w:ascii="Calibri" w:eastAsia="Calibri" w:hAnsi="Calibri" w:cs="Calibri"/>
          <w:sz w:val="20"/>
          <w:szCs w:val="20"/>
        </w:rPr>
      </w:pPr>
      <w:r>
        <w:rPr>
          <w:rFonts w:ascii="Calibri" w:eastAsia="Calibri" w:hAnsi="Calibri" w:cs="Calibri"/>
          <w:b/>
          <w:sz w:val="20"/>
          <w:szCs w:val="20"/>
        </w:rPr>
        <w:t xml:space="preserve">Book gills: </w:t>
      </w:r>
      <w:r>
        <w:rPr>
          <w:rFonts w:ascii="Calibri" w:eastAsia="Calibri" w:hAnsi="Calibri" w:cs="Calibri"/>
          <w:sz w:val="20"/>
          <w:szCs w:val="20"/>
        </w:rPr>
        <w:t>lamellae arising from opercula</w:t>
      </w:r>
    </w:p>
    <w:p w14:paraId="566608E1" w14:textId="77777777" w:rsidR="00481D1E" w:rsidRDefault="00481D1E" w:rsidP="00481D1E">
      <w:pPr>
        <w:numPr>
          <w:ilvl w:val="0"/>
          <w:numId w:val="12"/>
        </w:numPr>
        <w:spacing w:line="276" w:lineRule="auto"/>
        <w:rPr>
          <w:rFonts w:ascii="Calibri" w:eastAsia="Calibri" w:hAnsi="Calibri" w:cs="Calibri"/>
          <w:sz w:val="20"/>
          <w:szCs w:val="20"/>
        </w:rPr>
      </w:pPr>
      <w:r>
        <w:rPr>
          <w:rFonts w:ascii="Calibri" w:eastAsia="Calibri" w:hAnsi="Calibri" w:cs="Calibri"/>
          <w:sz w:val="20"/>
          <w:szCs w:val="20"/>
        </w:rPr>
        <w:t>Lamellae: 2 simple flattened epithelial layers around a vascular lumen (asterisk), held apart by pillar cells (arrow)</w:t>
      </w:r>
    </w:p>
    <w:p w14:paraId="236F808C" w14:textId="77777777" w:rsidR="00481D1E" w:rsidRDefault="00481D1E" w:rsidP="00481D1E">
      <w:pPr>
        <w:rPr>
          <w:rFonts w:ascii="Calibri" w:eastAsia="Calibri" w:hAnsi="Calibri" w:cs="Calibri"/>
          <w:sz w:val="20"/>
          <w:szCs w:val="20"/>
        </w:rPr>
      </w:pPr>
      <w:r>
        <w:rPr>
          <w:rFonts w:ascii="Calibri" w:eastAsia="Calibri" w:hAnsi="Calibri" w:cs="Calibri"/>
          <w:noProof/>
          <w:sz w:val="20"/>
          <w:szCs w:val="20"/>
        </w:rPr>
        <w:drawing>
          <wp:inline distT="114300" distB="114300" distL="114300" distR="114300" wp14:anchorId="209DD963" wp14:editId="62A96AF4">
            <wp:extent cx="4475540" cy="1957388"/>
            <wp:effectExtent l="0" t="0" r="0" b="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4475540" cy="1957388"/>
                    </a:xfrm>
                    <a:prstGeom prst="rect">
                      <a:avLst/>
                    </a:prstGeom>
                    <a:ln/>
                  </pic:spPr>
                </pic:pic>
              </a:graphicData>
            </a:graphic>
          </wp:inline>
        </w:drawing>
      </w:r>
    </w:p>
    <w:p w14:paraId="07A3486A" w14:textId="77777777" w:rsidR="00481D1E" w:rsidRDefault="00481D1E" w:rsidP="00481D1E">
      <w:pPr>
        <w:rPr>
          <w:rFonts w:ascii="Calibri" w:eastAsia="Calibri" w:hAnsi="Calibri" w:cs="Calibri"/>
          <w:b/>
          <w:sz w:val="20"/>
          <w:szCs w:val="20"/>
        </w:rPr>
      </w:pPr>
      <w:r>
        <w:rPr>
          <w:rFonts w:ascii="Calibri" w:eastAsia="Calibri" w:hAnsi="Calibri" w:cs="Calibri"/>
          <w:b/>
          <w:sz w:val="20"/>
          <w:szCs w:val="20"/>
        </w:rPr>
        <w:t xml:space="preserve">Fungal </w:t>
      </w:r>
      <w:proofErr w:type="spellStart"/>
      <w:r>
        <w:rPr>
          <w:rFonts w:ascii="Calibri" w:eastAsia="Calibri" w:hAnsi="Calibri" w:cs="Calibri"/>
          <w:b/>
          <w:sz w:val="20"/>
          <w:szCs w:val="20"/>
        </w:rPr>
        <w:t>branchitis</w:t>
      </w:r>
      <w:proofErr w:type="spellEnd"/>
    </w:p>
    <w:p w14:paraId="1E1DBDE9" w14:textId="77777777" w:rsidR="00481D1E" w:rsidRDefault="00481D1E" w:rsidP="00481D1E">
      <w:pPr>
        <w:rPr>
          <w:rFonts w:ascii="Calibri" w:eastAsia="Calibri" w:hAnsi="Calibri" w:cs="Calibri"/>
          <w:sz w:val="20"/>
          <w:szCs w:val="20"/>
        </w:rPr>
      </w:pPr>
      <w:r>
        <w:rPr>
          <w:rFonts w:ascii="Calibri" w:eastAsia="Calibri" w:hAnsi="Calibri" w:cs="Calibri"/>
          <w:noProof/>
          <w:sz w:val="20"/>
          <w:szCs w:val="20"/>
        </w:rPr>
        <w:drawing>
          <wp:inline distT="114300" distB="114300" distL="114300" distR="114300" wp14:anchorId="1878F121" wp14:editId="72C73456">
            <wp:extent cx="4462463" cy="1956293"/>
            <wp:effectExtent l="0" t="0" r="0" b="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4462463" cy="1956293"/>
                    </a:xfrm>
                    <a:prstGeom prst="rect">
                      <a:avLst/>
                    </a:prstGeom>
                    <a:ln/>
                  </pic:spPr>
                </pic:pic>
              </a:graphicData>
            </a:graphic>
          </wp:inline>
        </w:drawing>
      </w:r>
    </w:p>
    <w:p w14:paraId="760B5E58" w14:textId="77777777" w:rsidR="00481D1E" w:rsidRDefault="00481D1E" w:rsidP="00481D1E">
      <w:pPr>
        <w:rPr>
          <w:rFonts w:ascii="Calibri" w:eastAsia="Calibri" w:hAnsi="Calibri" w:cs="Calibri"/>
          <w:b/>
          <w:sz w:val="20"/>
          <w:szCs w:val="20"/>
        </w:rPr>
      </w:pPr>
      <w:r>
        <w:rPr>
          <w:rFonts w:ascii="Calibri" w:eastAsia="Calibri" w:hAnsi="Calibri" w:cs="Calibri"/>
          <w:b/>
          <w:sz w:val="20"/>
          <w:szCs w:val="20"/>
        </w:rPr>
        <w:t>Biofilm mat over gills with blue-green algae cells (arrowheads)</w:t>
      </w:r>
    </w:p>
    <w:p w14:paraId="4D593F75" w14:textId="77777777" w:rsidR="00481D1E" w:rsidRDefault="00481D1E"/>
    <w:p w14:paraId="3B30421D" w14:textId="77777777" w:rsidR="00481D1E" w:rsidRDefault="00481D1E"/>
    <w:p w14:paraId="5541B219" w14:textId="77777777" w:rsidR="00481D1E" w:rsidRPr="00304454" w:rsidRDefault="00481D1E" w:rsidP="00481D1E">
      <w:proofErr w:type="spellStart"/>
      <w:r w:rsidRPr="00304454">
        <w:t>Doerr</w:t>
      </w:r>
      <w:proofErr w:type="spellEnd"/>
      <w:r w:rsidRPr="00304454">
        <w:t xml:space="preserve">, M., &amp; </w:t>
      </w:r>
      <w:proofErr w:type="spellStart"/>
      <w:r w:rsidRPr="00304454">
        <w:t>Stoskopf</w:t>
      </w:r>
      <w:proofErr w:type="spellEnd"/>
      <w:r w:rsidRPr="00304454">
        <w:t xml:space="preserve">, M. K. (2019). Evaluation of euthanasia of moon jellyfish (Aurelia </w:t>
      </w:r>
      <w:proofErr w:type="spellStart"/>
      <w:r w:rsidRPr="00304454">
        <w:t>aurita</w:t>
      </w:r>
      <w:proofErr w:type="spellEnd"/>
      <w:r w:rsidRPr="00304454">
        <w:t xml:space="preserve">) using simple salt solutions. </w:t>
      </w:r>
      <w:r w:rsidRPr="00304454">
        <w:rPr>
          <w:i/>
          <w:iCs/>
        </w:rPr>
        <w:t>Journal of Zoo and Wildlife Medicine</w:t>
      </w:r>
      <w:r w:rsidRPr="00304454">
        <w:t xml:space="preserve">, </w:t>
      </w:r>
      <w:r w:rsidRPr="00304454">
        <w:rPr>
          <w:i/>
          <w:iCs/>
        </w:rPr>
        <w:t>50</w:t>
      </w:r>
      <w:r w:rsidRPr="00304454">
        <w:t>(1), 123-126.</w:t>
      </w:r>
    </w:p>
    <w:p w14:paraId="545A4D8F" w14:textId="77777777" w:rsidR="00481D1E" w:rsidRPr="009C522C" w:rsidRDefault="00481D1E" w:rsidP="00481D1E"/>
    <w:p w14:paraId="275E570B" w14:textId="77777777" w:rsidR="00481D1E" w:rsidRPr="009C522C" w:rsidRDefault="00481D1E" w:rsidP="00481D1E">
      <w:r w:rsidRPr="009C522C">
        <w:rPr>
          <w:b/>
          <w:bCs/>
          <w:color w:val="000000"/>
        </w:rPr>
        <w:lastRenderedPageBreak/>
        <w:t>Abstract:</w:t>
      </w:r>
      <w:r w:rsidRPr="009C522C">
        <w:rPr>
          <w:color w:val="000000"/>
        </w:rPr>
        <w:t xml:space="preserve"> Immersion euthanasia methods reported over the most recent decades for aquatic invertebrates use organic alcohols or halogenated hydrocarbons that can interfere with nuclear magnetic resonance (NMR) analysis. A rolling study design </w:t>
      </w:r>
      <w:r w:rsidRPr="009C522C">
        <w:rPr>
          <w:b/>
          <w:color w:val="000000"/>
        </w:rPr>
        <w:t>evaluated potassium chloride (</w:t>
      </w:r>
      <w:proofErr w:type="spellStart"/>
      <w:r w:rsidRPr="009C522C">
        <w:rPr>
          <w:b/>
          <w:color w:val="000000"/>
        </w:rPr>
        <w:t>KCl</w:t>
      </w:r>
      <w:proofErr w:type="spellEnd"/>
      <w:r w:rsidRPr="009C522C">
        <w:rPr>
          <w:b/>
          <w:color w:val="000000"/>
        </w:rPr>
        <w:t xml:space="preserve">), magnesium chloride (MgCl2), and magnesium sulfate (MgSO4) as potential ion-based euthanasia methods for moon jellyfish (Aurelia </w:t>
      </w:r>
      <w:proofErr w:type="spellStart"/>
      <w:r w:rsidRPr="009C522C">
        <w:rPr>
          <w:b/>
          <w:color w:val="000000"/>
        </w:rPr>
        <w:t>aurita</w:t>
      </w:r>
      <w:proofErr w:type="spellEnd"/>
      <w:r w:rsidRPr="009C522C">
        <w:rPr>
          <w:b/>
          <w:color w:val="000000"/>
        </w:rPr>
        <w:t>) destined for metabolomic analysis by NMR</w:t>
      </w:r>
      <w:r w:rsidRPr="009C522C">
        <w:rPr>
          <w:color w:val="000000"/>
        </w:rPr>
        <w:t xml:space="preserve"> spectroscopy. Death was defined as the cessation of autonomous bell pulsing and response to external stimulus. </w:t>
      </w:r>
      <w:r w:rsidRPr="009C522C">
        <w:rPr>
          <w:b/>
          <w:color w:val="000000"/>
        </w:rPr>
        <w:t xml:space="preserve">MgCl2 applied at a dose of 142 g/L provided euthanasia within 32 sec of applications without the untoward effects observed with the other two salts. Euthanasia with </w:t>
      </w:r>
      <w:proofErr w:type="spellStart"/>
      <w:r w:rsidRPr="009C522C">
        <w:rPr>
          <w:b/>
          <w:color w:val="000000"/>
        </w:rPr>
        <w:t>KCl</w:t>
      </w:r>
      <w:proofErr w:type="spellEnd"/>
      <w:r w:rsidRPr="009C522C">
        <w:rPr>
          <w:b/>
          <w:color w:val="000000"/>
        </w:rPr>
        <w:t xml:space="preserve"> at the doses tested was associated with abnormal behavior and tissue degradation during dissection. MgSO4 at the doses tested resulted in abnormal behavior and failed to provide rapid euthanasia.</w:t>
      </w:r>
      <w:r w:rsidRPr="009C522C">
        <w:rPr>
          <w:color w:val="000000"/>
        </w:rPr>
        <w:t> </w:t>
      </w:r>
    </w:p>
    <w:p w14:paraId="693E10A5" w14:textId="77777777" w:rsidR="00481D1E" w:rsidRPr="009C522C" w:rsidRDefault="00481D1E" w:rsidP="00481D1E"/>
    <w:p w14:paraId="0D116701" w14:textId="77777777" w:rsidR="00481D1E" w:rsidRPr="009C522C" w:rsidRDefault="00481D1E" w:rsidP="00481D1E">
      <w:r w:rsidRPr="009C522C">
        <w:rPr>
          <w:b/>
          <w:bCs/>
          <w:color w:val="000000"/>
        </w:rPr>
        <w:t>Background information</w:t>
      </w:r>
      <w:r w:rsidRPr="009C522C">
        <w:rPr>
          <w:color w:val="000000"/>
        </w:rPr>
        <w:t>: </w:t>
      </w:r>
    </w:p>
    <w:p w14:paraId="6FA95BC4" w14:textId="77777777" w:rsidR="00481D1E" w:rsidRPr="009C522C" w:rsidRDefault="00481D1E" w:rsidP="00481D1E">
      <w:pPr>
        <w:numPr>
          <w:ilvl w:val="0"/>
          <w:numId w:val="13"/>
        </w:numPr>
        <w:textAlignment w:val="baseline"/>
        <w:rPr>
          <w:color w:val="000000"/>
        </w:rPr>
      </w:pPr>
      <w:r w:rsidRPr="009C522C">
        <w:rPr>
          <w:color w:val="000000"/>
        </w:rPr>
        <w:t>Euthanasia of invertebrates complicated by lack of knowledge of invert nociception, as well as the diversity of phyla </w:t>
      </w:r>
    </w:p>
    <w:p w14:paraId="4F325634" w14:textId="77777777" w:rsidR="00481D1E" w:rsidRPr="009C522C" w:rsidRDefault="00481D1E" w:rsidP="00481D1E">
      <w:pPr>
        <w:numPr>
          <w:ilvl w:val="0"/>
          <w:numId w:val="13"/>
        </w:numPr>
        <w:textAlignment w:val="baseline"/>
        <w:rPr>
          <w:color w:val="000000"/>
        </w:rPr>
      </w:pPr>
      <w:r w:rsidRPr="009C522C">
        <w:rPr>
          <w:color w:val="000000"/>
        </w:rPr>
        <w:t>Current recommendations are MS222 or ethanol BUT these are not appropriate for inverts that are going to be assessed by NMR (nuclear magnetic resonance) analysis after euthanasia- leads to abnormal peaks/obscuring of peaks from key molecules </w:t>
      </w:r>
    </w:p>
    <w:p w14:paraId="5921E739" w14:textId="77777777" w:rsidR="00481D1E" w:rsidRPr="009C522C" w:rsidRDefault="00481D1E" w:rsidP="00481D1E">
      <w:pPr>
        <w:numPr>
          <w:ilvl w:val="1"/>
          <w:numId w:val="13"/>
        </w:numPr>
        <w:textAlignment w:val="baseline"/>
        <w:rPr>
          <w:color w:val="000000"/>
        </w:rPr>
      </w:pPr>
      <w:r w:rsidRPr="009C522C">
        <w:rPr>
          <w:color w:val="000000"/>
        </w:rPr>
        <w:t>Study objective is to find an inorganic method of euthanasia for jellyfish </w:t>
      </w:r>
    </w:p>
    <w:p w14:paraId="04B069DA" w14:textId="77777777" w:rsidR="00481D1E" w:rsidRPr="009C522C" w:rsidRDefault="00481D1E" w:rsidP="00481D1E">
      <w:pPr>
        <w:numPr>
          <w:ilvl w:val="0"/>
          <w:numId w:val="13"/>
        </w:numPr>
        <w:textAlignment w:val="baseline"/>
        <w:rPr>
          <w:color w:val="000000"/>
        </w:rPr>
      </w:pPr>
      <w:proofErr w:type="spellStart"/>
      <w:r w:rsidRPr="009C522C">
        <w:rPr>
          <w:color w:val="000000"/>
        </w:rPr>
        <w:t>Scyphozoa</w:t>
      </w:r>
      <w:proofErr w:type="spellEnd"/>
      <w:r w:rsidRPr="009C522C">
        <w:rPr>
          <w:color w:val="000000"/>
        </w:rPr>
        <w:t xml:space="preserve"> = “true jellyfish,” marine only class of phylum Cnidaria </w:t>
      </w:r>
    </w:p>
    <w:p w14:paraId="7ED97222" w14:textId="77777777" w:rsidR="00481D1E" w:rsidRPr="009C522C" w:rsidRDefault="00481D1E" w:rsidP="00481D1E">
      <w:pPr>
        <w:numPr>
          <w:ilvl w:val="1"/>
          <w:numId w:val="13"/>
        </w:numPr>
        <w:textAlignment w:val="baseline"/>
        <w:rPr>
          <w:color w:val="000000"/>
        </w:rPr>
      </w:pPr>
      <w:r w:rsidRPr="009C522C">
        <w:rPr>
          <w:color w:val="000000"/>
        </w:rPr>
        <w:t>Central nervous system </w:t>
      </w:r>
    </w:p>
    <w:p w14:paraId="76FC8D6A" w14:textId="77777777" w:rsidR="00481D1E" w:rsidRPr="009C522C" w:rsidRDefault="00481D1E" w:rsidP="00481D1E">
      <w:pPr>
        <w:numPr>
          <w:ilvl w:val="2"/>
          <w:numId w:val="13"/>
        </w:numPr>
        <w:textAlignment w:val="baseline"/>
        <w:rPr>
          <w:color w:val="000000"/>
        </w:rPr>
      </w:pPr>
      <w:proofErr w:type="spellStart"/>
      <w:r w:rsidRPr="009C522C">
        <w:rPr>
          <w:color w:val="000000"/>
        </w:rPr>
        <w:t>Rhopalia</w:t>
      </w:r>
      <w:proofErr w:type="spellEnd"/>
      <w:r w:rsidRPr="009C522C">
        <w:rPr>
          <w:color w:val="000000"/>
        </w:rPr>
        <w:t xml:space="preserve"> = ganglia-like centers on the bell margin </w:t>
      </w:r>
    </w:p>
    <w:p w14:paraId="51CA2081" w14:textId="77777777" w:rsidR="00481D1E" w:rsidRPr="009C522C" w:rsidRDefault="00481D1E" w:rsidP="00481D1E">
      <w:pPr>
        <w:numPr>
          <w:ilvl w:val="3"/>
          <w:numId w:val="14"/>
        </w:numPr>
        <w:textAlignment w:val="baseline"/>
        <w:rPr>
          <w:color w:val="000000"/>
        </w:rPr>
      </w:pPr>
      <w:r w:rsidRPr="009C522C">
        <w:rPr>
          <w:color w:val="000000"/>
        </w:rPr>
        <w:t xml:space="preserve">Contain photosensitive structures (ocelli), </w:t>
      </w:r>
      <w:proofErr w:type="spellStart"/>
      <w:r w:rsidRPr="009C522C">
        <w:rPr>
          <w:color w:val="000000"/>
        </w:rPr>
        <w:t>statoliths</w:t>
      </w:r>
      <w:proofErr w:type="spellEnd"/>
      <w:r w:rsidRPr="009C522C">
        <w:rPr>
          <w:color w:val="000000"/>
        </w:rPr>
        <w:t xml:space="preserve"> and pacemaker cells that set the rhythm of bell contractions </w:t>
      </w:r>
    </w:p>
    <w:p w14:paraId="524DDE96" w14:textId="77777777" w:rsidR="00481D1E" w:rsidRPr="009C522C" w:rsidRDefault="00481D1E" w:rsidP="00481D1E">
      <w:pPr>
        <w:numPr>
          <w:ilvl w:val="2"/>
          <w:numId w:val="14"/>
        </w:numPr>
        <w:textAlignment w:val="baseline"/>
        <w:rPr>
          <w:color w:val="000000"/>
        </w:rPr>
      </w:pPr>
      <w:r w:rsidRPr="009C522C">
        <w:rPr>
          <w:color w:val="000000"/>
        </w:rPr>
        <w:t xml:space="preserve">Motor Nerve Net (MNN) = innervates the muscle sheet of the </w:t>
      </w:r>
      <w:proofErr w:type="spellStart"/>
      <w:r w:rsidRPr="009C522C">
        <w:rPr>
          <w:color w:val="000000"/>
        </w:rPr>
        <w:t>subumbrella</w:t>
      </w:r>
      <w:proofErr w:type="spellEnd"/>
      <w:r w:rsidRPr="009C522C">
        <w:rPr>
          <w:color w:val="000000"/>
        </w:rPr>
        <w:t xml:space="preserve"> cavity; causes bell contractions </w:t>
      </w:r>
    </w:p>
    <w:p w14:paraId="106105A6" w14:textId="77777777" w:rsidR="00481D1E" w:rsidRPr="009C522C" w:rsidRDefault="00481D1E" w:rsidP="00481D1E">
      <w:pPr>
        <w:numPr>
          <w:ilvl w:val="2"/>
          <w:numId w:val="14"/>
        </w:numPr>
        <w:textAlignment w:val="baseline"/>
        <w:rPr>
          <w:color w:val="000000"/>
        </w:rPr>
      </w:pPr>
      <w:r w:rsidRPr="009C522C">
        <w:rPr>
          <w:color w:val="000000"/>
        </w:rPr>
        <w:t xml:space="preserve">Diffuse Nerve Net (DNN)= relays sensory input to the bell margin and </w:t>
      </w:r>
      <w:proofErr w:type="spellStart"/>
      <w:r w:rsidRPr="009C522C">
        <w:rPr>
          <w:color w:val="000000"/>
        </w:rPr>
        <w:t>rhopalia</w:t>
      </w:r>
      <w:proofErr w:type="spellEnd"/>
    </w:p>
    <w:p w14:paraId="75226D05" w14:textId="77777777" w:rsidR="00481D1E" w:rsidRPr="009C522C" w:rsidRDefault="00481D1E" w:rsidP="00481D1E"/>
    <w:p w14:paraId="44BD501A" w14:textId="77777777" w:rsidR="00481D1E" w:rsidRPr="009C522C" w:rsidRDefault="00481D1E" w:rsidP="00481D1E">
      <w:r w:rsidRPr="009C522C">
        <w:rPr>
          <w:b/>
          <w:bCs/>
          <w:color w:val="000000"/>
        </w:rPr>
        <w:t>Study design</w:t>
      </w:r>
      <w:r w:rsidRPr="009C522C">
        <w:rPr>
          <w:color w:val="000000"/>
        </w:rPr>
        <w:t>: “rolling design” using 13 captive bred moon jellies. Put into a tank and their resting pulse rate and response to a bell-tap stimulus were measured. Euthanasia considered achieved with cessation of response to bell-tap stimulus and pulse rate. </w:t>
      </w:r>
    </w:p>
    <w:p w14:paraId="2DB6D5E1" w14:textId="77777777" w:rsidR="00481D1E" w:rsidRPr="009C522C" w:rsidRDefault="00481D1E" w:rsidP="00481D1E">
      <w:pPr>
        <w:jc w:val="center"/>
        <w:rPr>
          <w:noProof/>
          <w:color w:val="000000"/>
          <w:bdr w:val="single" w:sz="8" w:space="0" w:color="000000" w:frame="1"/>
        </w:rPr>
      </w:pPr>
      <w:r w:rsidRPr="004428F5">
        <w:rPr>
          <w:noProof/>
          <w:color w:val="000000"/>
          <w:bdr w:val="single" w:sz="8" w:space="0" w:color="000000" w:frame="1"/>
        </w:rPr>
        <w:drawing>
          <wp:inline distT="0" distB="0" distL="0" distR="0" wp14:anchorId="3322F418" wp14:editId="5EFB06E5">
            <wp:extent cx="2003425" cy="1461914"/>
            <wp:effectExtent l="0" t="0" r="0" b="5080"/>
            <wp:docPr id="27" name="Picture 27" descr="https://lh3.googleusercontent.com/viRv9vFZ6xrzXKSLDHccEG7s_revDZa21vv8C-dZ9H5Xf7c6SWhh3mwHhr7JvO3pyYKGsjUA-uH6J-wh42LegZtTElN1w5aDv3eFFLDFyJd7uT3JESr-c9uv--kQWB0o1dEyiv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viRv9vFZ6xrzXKSLDHccEG7s_revDZa21vv8C-dZ9H5Xf7c6SWhh3mwHhr7JvO3pyYKGsjUA-uH6J-wh42LegZtTElN1w5aDv3eFFLDFyJd7uT3JESr-c9uv--kQWB0o1dEyivC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43392"/>
                    <a:stretch/>
                  </pic:blipFill>
                  <pic:spPr bwMode="auto">
                    <a:xfrm>
                      <a:off x="0" y="0"/>
                      <a:ext cx="2006732" cy="1464327"/>
                    </a:xfrm>
                    <a:prstGeom prst="rect">
                      <a:avLst/>
                    </a:prstGeom>
                    <a:noFill/>
                    <a:ln>
                      <a:noFill/>
                    </a:ln>
                    <a:extLst>
                      <a:ext uri="{53640926-AAD7-44D8-BBD7-CCE9431645EC}">
                        <a14:shadowObscured xmlns:a14="http://schemas.microsoft.com/office/drawing/2010/main"/>
                      </a:ext>
                    </a:extLst>
                  </pic:spPr>
                </pic:pic>
              </a:graphicData>
            </a:graphic>
          </wp:inline>
        </w:drawing>
      </w:r>
      <w:r w:rsidRPr="004428F5">
        <w:rPr>
          <w:noProof/>
          <w:color w:val="000000"/>
          <w:bdr w:val="single" w:sz="8" w:space="0" w:color="000000" w:frame="1"/>
        </w:rPr>
        <w:drawing>
          <wp:inline distT="0" distB="0" distL="0" distR="0" wp14:anchorId="5F4478A6" wp14:editId="60D56300">
            <wp:extent cx="2624748" cy="1476375"/>
            <wp:effectExtent l="0" t="0" r="4445" b="0"/>
            <wp:docPr id="28" name="Picture 28" descr="https://lh3.googleusercontent.com/viRv9vFZ6xrzXKSLDHccEG7s_revDZa21vv8C-dZ9H5Xf7c6SWhh3mwHhr7JvO3pyYKGsjUA-uH6J-wh42LegZtTElN1w5aDv3eFFLDFyJd7uT3JESr-c9uv--kQWB0o1dEyiv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viRv9vFZ6xrzXKSLDHccEG7s_revDZa21vv8C-dZ9H5Xf7c6SWhh3mwHhr7JvO3pyYKGsjUA-uH6J-wh42LegZtTElN1w5aDv3eFFLDFyJd7uT3JESr-c9uv--kQWB0o1dEyivC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56364"/>
                    <a:stretch/>
                  </pic:blipFill>
                  <pic:spPr bwMode="auto">
                    <a:xfrm>
                      <a:off x="0" y="0"/>
                      <a:ext cx="2642426" cy="1486319"/>
                    </a:xfrm>
                    <a:prstGeom prst="rect">
                      <a:avLst/>
                    </a:prstGeom>
                    <a:noFill/>
                    <a:ln>
                      <a:noFill/>
                    </a:ln>
                    <a:extLst>
                      <a:ext uri="{53640926-AAD7-44D8-BBD7-CCE9431645EC}">
                        <a14:shadowObscured xmlns:a14="http://schemas.microsoft.com/office/drawing/2010/main"/>
                      </a:ext>
                    </a:extLst>
                  </pic:spPr>
                </pic:pic>
              </a:graphicData>
            </a:graphic>
          </wp:inline>
        </w:drawing>
      </w:r>
    </w:p>
    <w:p w14:paraId="5A37E9CF" w14:textId="77777777" w:rsidR="00481D1E" w:rsidRPr="009C522C" w:rsidRDefault="00481D1E" w:rsidP="00481D1E"/>
    <w:p w14:paraId="2E119892" w14:textId="77777777" w:rsidR="00481D1E" w:rsidRPr="009C522C" w:rsidRDefault="00481D1E" w:rsidP="00481D1E">
      <w:r w:rsidRPr="009C522C">
        <w:rPr>
          <w:b/>
          <w:bCs/>
          <w:color w:val="000000"/>
        </w:rPr>
        <w:t>Results</w:t>
      </w:r>
      <w:r w:rsidRPr="009C522C">
        <w:rPr>
          <w:color w:val="000000"/>
        </w:rPr>
        <w:t>: Most pertinent= MgCl2 at 142 g/L was the most effective lowest dose that maintained efficiency as a euthanizing agent </w:t>
      </w:r>
    </w:p>
    <w:p w14:paraId="7416E1DE" w14:textId="77777777" w:rsidR="00481D1E" w:rsidRPr="009C522C" w:rsidRDefault="00481D1E" w:rsidP="00481D1E">
      <w:pPr>
        <w:numPr>
          <w:ilvl w:val="0"/>
          <w:numId w:val="15"/>
        </w:numPr>
        <w:textAlignment w:val="baseline"/>
        <w:rPr>
          <w:color w:val="000000"/>
        </w:rPr>
      </w:pPr>
      <w:proofErr w:type="spellStart"/>
      <w:r w:rsidRPr="009C522C">
        <w:rPr>
          <w:color w:val="000000"/>
        </w:rPr>
        <w:lastRenderedPageBreak/>
        <w:t>KCl</w:t>
      </w:r>
      <w:proofErr w:type="spellEnd"/>
      <w:r w:rsidRPr="009C522C">
        <w:rPr>
          <w:color w:val="000000"/>
        </w:rPr>
        <w:t>, MgCl2 and MgSO4 - at the highest dose, caused immediate unresponsiveness and discharge of nematocysts and oral mucous → considered acute distress. </w:t>
      </w:r>
    </w:p>
    <w:p w14:paraId="2CE3F0C5" w14:textId="77777777" w:rsidR="00481D1E" w:rsidRPr="009C522C" w:rsidRDefault="00481D1E" w:rsidP="00481D1E">
      <w:pPr>
        <w:numPr>
          <w:ilvl w:val="0"/>
          <w:numId w:val="15"/>
        </w:numPr>
        <w:textAlignment w:val="baseline"/>
        <w:rPr>
          <w:color w:val="000000"/>
        </w:rPr>
      </w:pPr>
      <w:proofErr w:type="spellStart"/>
      <w:r w:rsidRPr="009C522C">
        <w:rPr>
          <w:color w:val="000000"/>
        </w:rPr>
        <w:t>KCl</w:t>
      </w:r>
      <w:proofErr w:type="spellEnd"/>
      <w:r w:rsidRPr="009C522C">
        <w:rPr>
          <w:color w:val="000000"/>
        </w:rPr>
        <w:t xml:space="preserve"> caused loss of tissue integrity after euthanasia </w:t>
      </w:r>
    </w:p>
    <w:p w14:paraId="3F98776E" w14:textId="77777777" w:rsidR="00481D1E" w:rsidRPr="009C522C" w:rsidRDefault="00481D1E" w:rsidP="00481D1E">
      <w:pPr>
        <w:numPr>
          <w:ilvl w:val="0"/>
          <w:numId w:val="15"/>
        </w:numPr>
        <w:textAlignment w:val="baseline"/>
        <w:rPr>
          <w:color w:val="000000"/>
        </w:rPr>
      </w:pPr>
      <w:r w:rsidRPr="009C522C">
        <w:rPr>
          <w:color w:val="000000"/>
        </w:rPr>
        <w:t xml:space="preserve">MgSO4 failed to provide effective euthanasia within the </w:t>
      </w:r>
      <w:proofErr w:type="gramStart"/>
      <w:r w:rsidRPr="009C522C">
        <w:rPr>
          <w:color w:val="000000"/>
        </w:rPr>
        <w:t>20 minute</w:t>
      </w:r>
      <w:proofErr w:type="gramEnd"/>
      <w:r w:rsidRPr="009C522C">
        <w:rPr>
          <w:color w:val="000000"/>
        </w:rPr>
        <w:t xml:space="preserve"> time period </w:t>
      </w:r>
    </w:p>
    <w:p w14:paraId="572A83D6" w14:textId="77777777" w:rsidR="00481D1E" w:rsidRPr="009C522C" w:rsidRDefault="00481D1E" w:rsidP="00481D1E"/>
    <w:p w14:paraId="15109085" w14:textId="77777777" w:rsidR="00481D1E" w:rsidRPr="009C522C" w:rsidRDefault="00481D1E" w:rsidP="00481D1E">
      <w:r w:rsidRPr="009C522C">
        <w:rPr>
          <w:b/>
          <w:bCs/>
          <w:color w:val="000000"/>
        </w:rPr>
        <w:t>Discussion</w:t>
      </w:r>
      <w:r w:rsidRPr="009C522C">
        <w:rPr>
          <w:color w:val="000000"/>
        </w:rPr>
        <w:t>: </w:t>
      </w:r>
    </w:p>
    <w:p w14:paraId="378507BF" w14:textId="77777777" w:rsidR="00481D1E" w:rsidRPr="009C522C" w:rsidRDefault="00481D1E" w:rsidP="00481D1E">
      <w:pPr>
        <w:numPr>
          <w:ilvl w:val="0"/>
          <w:numId w:val="16"/>
        </w:numPr>
        <w:textAlignment w:val="baseline"/>
        <w:rPr>
          <w:color w:val="000000"/>
        </w:rPr>
      </w:pPr>
      <w:r w:rsidRPr="009C522C">
        <w:rPr>
          <w:color w:val="000000"/>
        </w:rPr>
        <w:t>Pulse rate and response to stimulus were chosen as markers of euthanasia </w:t>
      </w:r>
    </w:p>
    <w:p w14:paraId="05870488" w14:textId="77777777" w:rsidR="00481D1E" w:rsidRPr="009C522C" w:rsidRDefault="00481D1E" w:rsidP="00481D1E">
      <w:pPr>
        <w:numPr>
          <w:ilvl w:val="1"/>
          <w:numId w:val="16"/>
        </w:numPr>
        <w:textAlignment w:val="baseline"/>
        <w:rPr>
          <w:color w:val="000000"/>
        </w:rPr>
      </w:pPr>
      <w:r w:rsidRPr="004428F5">
        <w:rPr>
          <w:color w:val="000000"/>
        </w:rPr>
        <w:t>Difficult</w:t>
      </w:r>
      <w:r w:rsidRPr="009C522C">
        <w:rPr>
          <w:color w:val="000000"/>
        </w:rPr>
        <w:t xml:space="preserve"> to tell between anesthetic response vs. paralysis </w:t>
      </w:r>
    </w:p>
    <w:p w14:paraId="27C5763A" w14:textId="77777777" w:rsidR="00481D1E" w:rsidRPr="009C522C" w:rsidRDefault="00481D1E" w:rsidP="00481D1E">
      <w:pPr>
        <w:numPr>
          <w:ilvl w:val="2"/>
          <w:numId w:val="16"/>
        </w:numPr>
        <w:textAlignment w:val="baseline"/>
        <w:rPr>
          <w:color w:val="000000"/>
        </w:rPr>
      </w:pPr>
      <w:r w:rsidRPr="009C522C">
        <w:rPr>
          <w:color w:val="000000"/>
        </w:rPr>
        <w:t>Loss of pulse in response to stimulus indicates inactivation of all three components of the CNS → loss of any nociceptive state → puts the jellyfish functionally into an insensate state </w:t>
      </w:r>
    </w:p>
    <w:p w14:paraId="5D5557F9" w14:textId="77777777" w:rsidR="00481D1E" w:rsidRPr="009C522C" w:rsidRDefault="00481D1E" w:rsidP="00481D1E">
      <w:pPr>
        <w:numPr>
          <w:ilvl w:val="1"/>
          <w:numId w:val="16"/>
        </w:numPr>
        <w:textAlignment w:val="baseline"/>
        <w:rPr>
          <w:color w:val="000000"/>
        </w:rPr>
      </w:pPr>
      <w:r w:rsidRPr="009C522C">
        <w:rPr>
          <w:color w:val="000000"/>
        </w:rPr>
        <w:t>Challenge #2 is evaluation of pain/distress in reaching euthanized state</w:t>
      </w:r>
    </w:p>
    <w:p w14:paraId="2E1CE18C" w14:textId="77777777" w:rsidR="00481D1E" w:rsidRPr="009C522C" w:rsidRDefault="00481D1E" w:rsidP="00481D1E">
      <w:pPr>
        <w:numPr>
          <w:ilvl w:val="2"/>
          <w:numId w:val="16"/>
        </w:numPr>
        <w:textAlignment w:val="baseline"/>
        <w:rPr>
          <w:color w:val="000000"/>
        </w:rPr>
      </w:pPr>
      <w:r w:rsidRPr="009C522C">
        <w:rPr>
          <w:color w:val="000000"/>
        </w:rPr>
        <w:t>Nematocyst expulsion = very regulated and highly costly; occurs when a mechanical signal at the cnidocyte triggers a Ca-mediated response </w:t>
      </w:r>
    </w:p>
    <w:p w14:paraId="25057587" w14:textId="77777777" w:rsidR="00481D1E" w:rsidRPr="009C522C" w:rsidRDefault="00481D1E" w:rsidP="00481D1E">
      <w:pPr>
        <w:numPr>
          <w:ilvl w:val="3"/>
          <w:numId w:val="17"/>
        </w:numPr>
        <w:textAlignment w:val="baseline"/>
        <w:rPr>
          <w:color w:val="000000"/>
        </w:rPr>
      </w:pPr>
      <w:r w:rsidRPr="009C522C">
        <w:rPr>
          <w:color w:val="000000"/>
        </w:rPr>
        <w:t>Likely an isolated biochemical reaction that is precipitated by altered water ion concentrations NOT an integrated distress response </w:t>
      </w:r>
    </w:p>
    <w:p w14:paraId="5D7A8253" w14:textId="77777777" w:rsidR="00481D1E" w:rsidRPr="009C522C" w:rsidRDefault="00481D1E" w:rsidP="00481D1E">
      <w:pPr>
        <w:numPr>
          <w:ilvl w:val="2"/>
          <w:numId w:val="17"/>
        </w:numPr>
        <w:textAlignment w:val="baseline"/>
        <w:rPr>
          <w:color w:val="000000"/>
        </w:rPr>
      </w:pPr>
      <w:r w:rsidRPr="009C522C">
        <w:rPr>
          <w:color w:val="000000"/>
        </w:rPr>
        <w:t>Mucous production: occurs in response to handling but also during feeding → could be interpreted as a marker of distress but still not fully understood mechanistically </w:t>
      </w:r>
    </w:p>
    <w:p w14:paraId="3FE69287" w14:textId="77777777" w:rsidR="00481D1E" w:rsidRPr="009C522C" w:rsidRDefault="00481D1E" w:rsidP="00481D1E"/>
    <w:p w14:paraId="0B901FDC" w14:textId="77777777" w:rsidR="00481D1E" w:rsidRPr="004428F5" w:rsidRDefault="00481D1E" w:rsidP="00481D1E">
      <w:r w:rsidRPr="009C522C">
        <w:rPr>
          <w:b/>
          <w:bCs/>
          <w:color w:val="000000"/>
        </w:rPr>
        <w:t>Take home points</w:t>
      </w:r>
      <w:r w:rsidRPr="009C522C">
        <w:rPr>
          <w:color w:val="000000"/>
        </w:rPr>
        <w:t>: Magnesium chloride at 142 g/L is recommended for euthanasia of scyphozoans when an inorganic method is needed. Inorganic methods are better for nuclear magnetic resonance (NMR) analysis as they don’t interfere with peaks from other key molecules. </w:t>
      </w:r>
    </w:p>
    <w:p w14:paraId="45652B7A" w14:textId="77777777" w:rsidR="00481D1E" w:rsidRDefault="00481D1E"/>
    <w:p w14:paraId="298C8F48" w14:textId="77777777" w:rsidR="00481D1E" w:rsidRDefault="00481D1E"/>
    <w:p w14:paraId="06589AF3" w14:textId="77777777" w:rsidR="00481D1E" w:rsidRPr="007A7792" w:rsidRDefault="00481D1E" w:rsidP="00481D1E">
      <w:r w:rsidRPr="007A7792">
        <w:t xml:space="preserve">Sheldon, Julie D., et al. "Effects of oxygen and isoflurane anesthesia on hemolymph gas analysis and righting reflex of </w:t>
      </w:r>
      <w:proofErr w:type="spellStart"/>
      <w:r w:rsidRPr="007A7792">
        <w:t>asian</w:t>
      </w:r>
      <w:proofErr w:type="spellEnd"/>
      <w:r w:rsidRPr="007A7792">
        <w:t xml:space="preserve"> forest (</w:t>
      </w:r>
      <w:proofErr w:type="spellStart"/>
      <w:r w:rsidRPr="007A7792">
        <w:t>heterometrus</w:t>
      </w:r>
      <w:proofErr w:type="spellEnd"/>
      <w:r w:rsidRPr="007A7792">
        <w:t xml:space="preserve"> </w:t>
      </w:r>
      <w:proofErr w:type="spellStart"/>
      <w:r w:rsidRPr="007A7792">
        <w:t>longimanus</w:t>
      </w:r>
      <w:proofErr w:type="spellEnd"/>
      <w:r w:rsidRPr="007A7792">
        <w:t>) and dictator scorpions (</w:t>
      </w:r>
      <w:proofErr w:type="spellStart"/>
      <w:r w:rsidRPr="007A7792">
        <w:t>pandinus</w:t>
      </w:r>
      <w:proofErr w:type="spellEnd"/>
      <w:r w:rsidRPr="007A7792">
        <w:t xml:space="preserve"> dictator)." </w:t>
      </w:r>
      <w:r w:rsidRPr="007A7792">
        <w:rPr>
          <w:i/>
          <w:iCs/>
        </w:rPr>
        <w:t>Journal of Zoo and Wildlife Medicine</w:t>
      </w:r>
      <w:r w:rsidRPr="007A7792">
        <w:t xml:space="preserve"> 50.1 (2019): 111-122.</w:t>
      </w:r>
    </w:p>
    <w:p w14:paraId="103D0498" w14:textId="77777777" w:rsidR="00481D1E" w:rsidRPr="007A7792" w:rsidRDefault="00481D1E" w:rsidP="00481D1E"/>
    <w:p w14:paraId="0FE5E40F" w14:textId="77777777" w:rsidR="00481D1E" w:rsidRPr="007A7792" w:rsidRDefault="00481D1E" w:rsidP="00481D1E">
      <w:r w:rsidRPr="00D646F0">
        <w:t xml:space="preserve">Abstract: Large arachnids are commonly managed under professional care, and anesthesia is occasionally required for physical examination and diagnostic and therapeutic procedures. Anesthetic responses and hemolymph gas analysis have been studied previously in spiders, but scorpions have yet to be investigated. This study measured hemolymph gas values with an </w:t>
      </w:r>
      <w:proofErr w:type="spellStart"/>
      <w:r w:rsidRPr="00D646F0">
        <w:t>i</w:t>
      </w:r>
      <w:proofErr w:type="spellEnd"/>
      <w:r w:rsidRPr="00D646F0">
        <w:t>-STAT point of care blood gas analyzer in healthy adult Asian forest scorpions (</w:t>
      </w:r>
      <w:proofErr w:type="spellStart"/>
      <w:r w:rsidRPr="00D646F0">
        <w:t>Heterometrus</w:t>
      </w:r>
      <w:proofErr w:type="spellEnd"/>
      <w:r w:rsidRPr="00D646F0">
        <w:t xml:space="preserve"> </w:t>
      </w:r>
      <w:proofErr w:type="spellStart"/>
      <w:r w:rsidRPr="00D646F0">
        <w:t>longimanus</w:t>
      </w:r>
      <w:proofErr w:type="spellEnd"/>
      <w:r>
        <w:t xml:space="preserve"> </w:t>
      </w:r>
      <w:r w:rsidRPr="00D646F0">
        <w:t>HL, n</w:t>
      </w:r>
      <w:r>
        <w:t>=</w:t>
      </w:r>
      <w:r w:rsidRPr="00D646F0">
        <w:t>8) and dictator scorpions (</w:t>
      </w:r>
      <w:proofErr w:type="spellStart"/>
      <w:r w:rsidRPr="00D646F0">
        <w:t>Pandinus</w:t>
      </w:r>
      <w:proofErr w:type="spellEnd"/>
      <w:r w:rsidRPr="00D646F0">
        <w:t xml:space="preserve"> dictator</w:t>
      </w:r>
      <w:r>
        <w:t xml:space="preserve"> </w:t>
      </w:r>
      <w:r w:rsidRPr="00D646F0">
        <w:t>PD, n</w:t>
      </w:r>
      <w:r>
        <w:t>=1</w:t>
      </w:r>
      <w:r w:rsidRPr="00D646F0">
        <w:t xml:space="preserve">2) breathing: 1) room air (RA), 2) 100% oxygen for 10 min in a chamber (OX), and 3) 5% isoflurane and oxygen (ISO) in a chamber until induction or loss of righting reflex. All scorpions recovered without complications, and there were no cartridge failures. Analysis of hemolymph gas values revealed that pH was lower in OX compared with RA and ISO and was lower in PD compared with HL scorpions. The partial pressure of carbon dioxide did not differ between inhaled gases but </w:t>
      </w:r>
      <w:r w:rsidRPr="00D646F0">
        <w:lastRenderedPageBreak/>
        <w:t>was higher in PD compared with HL. The partial pressure of oxygen (pO2) was higher in ISO compared with OX, and both were higher than when breathing RA. Despite a lack of species difference in pO2, PD had a more dramatic increase in pO2 in ISO compared with HL (significant species and inhalant interaction). PD had a significantly shorter induction time than HL, but recovery time (return of righting reflex) did not differ between species. Subjectively, HL exhibited rough inductions compared with PD, characterized by violent whole-body and tail movements. The unexpected increase in pO2 in ISO compared with OX, along with the species-specific differences and anesthetic effects, emphasizes the unique respiratory physiology of scorpions and demonstrates that further species-specific studies of anesthetics are warranted.</w:t>
      </w:r>
    </w:p>
    <w:p w14:paraId="016AC6B4" w14:textId="77777777" w:rsidR="00481D1E" w:rsidRPr="007A7792" w:rsidRDefault="00481D1E" w:rsidP="00481D1E"/>
    <w:p w14:paraId="7855A428" w14:textId="77777777" w:rsidR="00481D1E" w:rsidRPr="007A7792" w:rsidRDefault="00481D1E" w:rsidP="00481D1E">
      <w:r w:rsidRPr="007A7792">
        <w:t>Intro</w:t>
      </w:r>
    </w:p>
    <w:p w14:paraId="0887784A" w14:textId="77777777" w:rsidR="00481D1E" w:rsidRDefault="00481D1E" w:rsidP="00481D1E">
      <w:pPr>
        <w:pStyle w:val="ListParagraph"/>
        <w:numPr>
          <w:ilvl w:val="0"/>
          <w:numId w:val="18"/>
        </w:numPr>
      </w:pPr>
      <w:r>
        <w:t>M</w:t>
      </w:r>
      <w:r w:rsidRPr="00A0443B">
        <w:t>ost information regarding scorpion</w:t>
      </w:r>
      <w:r>
        <w:t xml:space="preserve"> anesthesia and hemolymph analysis </w:t>
      </w:r>
      <w:r w:rsidRPr="00A0443B">
        <w:t>is anecdotal or extrapolated from information on spiders</w:t>
      </w:r>
    </w:p>
    <w:p w14:paraId="501E6129" w14:textId="77777777" w:rsidR="00481D1E" w:rsidRDefault="00481D1E" w:rsidP="00481D1E">
      <w:pPr>
        <w:pStyle w:val="ListParagraph"/>
        <w:numPr>
          <w:ilvl w:val="0"/>
          <w:numId w:val="18"/>
        </w:numPr>
      </w:pPr>
      <w:r w:rsidRPr="00BF54C0">
        <w:t>The objectives of this study were to measure and describe hemolymph gas parameters in two species of scorpion; characterize the effects of room air (RA), 100% oxygen (OX), and 5% isoflurane in oxygen (ISO) on hemolymph gas parameters; and compare anesthetic induction and recovery time between species</w:t>
      </w:r>
    </w:p>
    <w:p w14:paraId="3882372A" w14:textId="77777777" w:rsidR="00481D1E" w:rsidRPr="00BF54C0" w:rsidRDefault="00481D1E" w:rsidP="00481D1E">
      <w:pPr>
        <w:pStyle w:val="ListParagraph"/>
        <w:numPr>
          <w:ilvl w:val="0"/>
          <w:numId w:val="18"/>
        </w:numPr>
      </w:pPr>
    </w:p>
    <w:p w14:paraId="768B14DB" w14:textId="77777777" w:rsidR="00481D1E" w:rsidRPr="007A7792" w:rsidRDefault="00481D1E" w:rsidP="00481D1E">
      <w:r w:rsidRPr="007A7792">
        <w:t>M&amp;M</w:t>
      </w:r>
    </w:p>
    <w:p w14:paraId="50AC0427" w14:textId="77777777" w:rsidR="00481D1E" w:rsidRDefault="00481D1E" w:rsidP="00481D1E">
      <w:pPr>
        <w:pStyle w:val="ListParagraph"/>
        <w:numPr>
          <w:ilvl w:val="0"/>
          <w:numId w:val="19"/>
        </w:numPr>
      </w:pPr>
      <w:r>
        <w:t>20 animals (8 HL and 12 PD)</w:t>
      </w:r>
    </w:p>
    <w:p w14:paraId="722829E7" w14:textId="77777777" w:rsidR="00481D1E" w:rsidRDefault="00481D1E" w:rsidP="00481D1E">
      <w:pPr>
        <w:pStyle w:val="ListParagraph"/>
        <w:numPr>
          <w:ilvl w:val="0"/>
          <w:numId w:val="19"/>
        </w:numPr>
      </w:pPr>
      <w:r>
        <w:t>PE followed by hemolymph collection for blood gas analysis</w:t>
      </w:r>
    </w:p>
    <w:p w14:paraId="09DC65AD" w14:textId="77777777" w:rsidR="00481D1E" w:rsidRDefault="00481D1E" w:rsidP="00481D1E">
      <w:pPr>
        <w:pStyle w:val="ListParagraph"/>
        <w:numPr>
          <w:ilvl w:val="0"/>
          <w:numId w:val="19"/>
        </w:numPr>
      </w:pPr>
      <w:r>
        <w:t>Put in chamber with 100% oxygen at 1.5 L/mini for 10 mins, blood gas run a second time</w:t>
      </w:r>
    </w:p>
    <w:p w14:paraId="673560E8" w14:textId="77777777" w:rsidR="00481D1E" w:rsidRDefault="00481D1E" w:rsidP="00481D1E">
      <w:pPr>
        <w:pStyle w:val="ListParagraph"/>
        <w:numPr>
          <w:ilvl w:val="0"/>
          <w:numId w:val="19"/>
        </w:numPr>
      </w:pPr>
      <w:r>
        <w:t>Allowed to recover in their enclosure for 2.5-3 hours prior to anesthetic induction</w:t>
      </w:r>
    </w:p>
    <w:p w14:paraId="05D393EE" w14:textId="77777777" w:rsidR="00481D1E" w:rsidRDefault="00481D1E" w:rsidP="00481D1E">
      <w:pPr>
        <w:pStyle w:val="ListParagraph"/>
        <w:numPr>
          <w:ilvl w:val="0"/>
          <w:numId w:val="19"/>
        </w:numPr>
      </w:pPr>
      <w:r>
        <w:t xml:space="preserve">Chamber induction with 5% isoflurane, after loss of righting reflex </w:t>
      </w:r>
      <w:proofErr w:type="spellStart"/>
      <w:r>
        <w:t>iso</w:t>
      </w:r>
      <w:proofErr w:type="spellEnd"/>
      <w:r>
        <w:t xml:space="preserve"> was d/c and hemolymph collected</w:t>
      </w:r>
    </w:p>
    <w:p w14:paraId="20DEB74D" w14:textId="77777777" w:rsidR="00481D1E" w:rsidRPr="00BF54C0" w:rsidRDefault="00481D1E" w:rsidP="00481D1E">
      <w:pPr>
        <w:pStyle w:val="ListParagraph"/>
        <w:numPr>
          <w:ilvl w:val="0"/>
          <w:numId w:val="19"/>
        </w:numPr>
      </w:pPr>
      <w:r>
        <w:t xml:space="preserve">Recovery time measured as minutes from removal to </w:t>
      </w:r>
      <w:proofErr w:type="spellStart"/>
      <w:r>
        <w:t>iso</w:t>
      </w:r>
      <w:proofErr w:type="spellEnd"/>
      <w:r>
        <w:t xml:space="preserve"> to return of righting reflex</w:t>
      </w:r>
    </w:p>
    <w:p w14:paraId="1B2AD466" w14:textId="77777777" w:rsidR="00481D1E" w:rsidRPr="007A7792" w:rsidRDefault="00481D1E" w:rsidP="00481D1E"/>
    <w:p w14:paraId="55231536" w14:textId="77777777" w:rsidR="00481D1E" w:rsidRPr="007A7792" w:rsidRDefault="00481D1E" w:rsidP="00481D1E">
      <w:r w:rsidRPr="007A7792">
        <w:t>Results</w:t>
      </w:r>
    </w:p>
    <w:p w14:paraId="3DF18F62" w14:textId="77777777" w:rsidR="00481D1E" w:rsidRDefault="00481D1E" w:rsidP="00481D1E">
      <w:pPr>
        <w:pStyle w:val="ListParagraph"/>
        <w:numPr>
          <w:ilvl w:val="0"/>
          <w:numId w:val="20"/>
        </w:numPr>
      </w:pPr>
      <w:r>
        <w:t>All animals recovered from anesthesia without complication</w:t>
      </w:r>
    </w:p>
    <w:p w14:paraId="7716897A" w14:textId="77777777" w:rsidR="00481D1E" w:rsidRDefault="00481D1E" w:rsidP="00481D1E">
      <w:pPr>
        <w:pStyle w:val="ListParagraph"/>
        <w:numPr>
          <w:ilvl w:val="0"/>
          <w:numId w:val="20"/>
        </w:numPr>
      </w:pPr>
      <w:r>
        <w:t xml:space="preserve">2 animals were found dead 11 and 96 days after anesthesia </w:t>
      </w:r>
    </w:p>
    <w:p w14:paraId="36A4F639" w14:textId="77777777" w:rsidR="00481D1E" w:rsidRDefault="00481D1E" w:rsidP="00481D1E">
      <w:pPr>
        <w:pStyle w:val="ListParagraph"/>
        <w:numPr>
          <w:ilvl w:val="0"/>
          <w:numId w:val="20"/>
        </w:numPr>
      </w:pPr>
      <w:r w:rsidRPr="008D1585">
        <w:t>Hemolymph collected as a percentage of body weight ranged from 2.3% to 5.6% (mean 2.8%)</w:t>
      </w:r>
    </w:p>
    <w:p w14:paraId="7186A792" w14:textId="77777777" w:rsidR="00481D1E" w:rsidRPr="008D1585" w:rsidRDefault="00481D1E" w:rsidP="00481D1E">
      <w:pPr>
        <w:pStyle w:val="ListParagraph"/>
        <w:numPr>
          <w:ilvl w:val="0"/>
          <w:numId w:val="20"/>
        </w:numPr>
      </w:pPr>
      <w:r w:rsidRPr="008D1585">
        <w:t>pH, pO2, TCO2 and BE all differed significantly between scorpions breathing RA, OX, and ISO</w:t>
      </w:r>
    </w:p>
    <w:p w14:paraId="55D77516" w14:textId="77777777" w:rsidR="00481D1E" w:rsidRDefault="00481D1E" w:rsidP="00481D1E">
      <w:pPr>
        <w:pStyle w:val="ListParagraph"/>
        <w:numPr>
          <w:ilvl w:val="0"/>
          <w:numId w:val="20"/>
        </w:numPr>
      </w:pPr>
      <w:r w:rsidRPr="00A0648A">
        <w:t>pCO2 was not significantly different between inhalants</w:t>
      </w:r>
    </w:p>
    <w:p w14:paraId="45B3C04F" w14:textId="77777777" w:rsidR="00481D1E" w:rsidRDefault="00481D1E" w:rsidP="00481D1E">
      <w:pPr>
        <w:pStyle w:val="ListParagraph"/>
        <w:numPr>
          <w:ilvl w:val="0"/>
          <w:numId w:val="20"/>
        </w:numPr>
      </w:pPr>
      <w:r w:rsidRPr="00A0648A">
        <w:t>Specifically, hemolymph pH</w:t>
      </w:r>
      <w:r>
        <w:t xml:space="preserve">, </w:t>
      </w:r>
      <w:r w:rsidRPr="00A0648A">
        <w:t>TCO2, HCO3, and BE were lower in OX compared with RA, and pO2</w:t>
      </w:r>
      <w:r>
        <w:t xml:space="preserve">, </w:t>
      </w:r>
      <w:r w:rsidRPr="00A0648A">
        <w:t xml:space="preserve">was lower in RA compared with OX. </w:t>
      </w:r>
    </w:p>
    <w:p w14:paraId="1BE55F15" w14:textId="77777777" w:rsidR="00481D1E" w:rsidRPr="00A0648A" w:rsidRDefault="00481D1E" w:rsidP="00481D1E">
      <w:pPr>
        <w:pStyle w:val="ListParagraph"/>
        <w:numPr>
          <w:ilvl w:val="0"/>
          <w:numId w:val="20"/>
        </w:numPr>
      </w:pPr>
      <w:r w:rsidRPr="00A0648A">
        <w:t>Similarly, hemolymph pH, pO2, TCO2, HCO3, and BE</w:t>
      </w:r>
      <w:r>
        <w:t xml:space="preserve">, </w:t>
      </w:r>
      <w:r w:rsidRPr="00A0648A">
        <w:t>were lower in OX compared with ISO</w:t>
      </w:r>
    </w:p>
    <w:p w14:paraId="497D6DF0" w14:textId="77777777" w:rsidR="00481D1E" w:rsidRPr="00A0648A" w:rsidRDefault="00481D1E" w:rsidP="00481D1E">
      <w:pPr>
        <w:pStyle w:val="ListParagraph"/>
        <w:numPr>
          <w:ilvl w:val="0"/>
          <w:numId w:val="20"/>
        </w:numPr>
      </w:pPr>
      <w:r w:rsidRPr="00A0648A">
        <w:t xml:space="preserve">PD had a significantly shorter </w:t>
      </w:r>
      <w:r>
        <w:t xml:space="preserve">(and subjectively smoother) </w:t>
      </w:r>
      <w:r w:rsidRPr="00A0648A">
        <w:t>induction time than HL, but recovery time did not differ between species</w:t>
      </w:r>
    </w:p>
    <w:p w14:paraId="6BEF6AB3" w14:textId="77777777" w:rsidR="00481D1E" w:rsidRPr="007A7792" w:rsidRDefault="00481D1E" w:rsidP="00481D1E"/>
    <w:p w14:paraId="5ADD3F0D" w14:textId="77777777" w:rsidR="00481D1E" w:rsidRPr="007A7792" w:rsidRDefault="00481D1E" w:rsidP="00481D1E">
      <w:r w:rsidRPr="007A7792">
        <w:lastRenderedPageBreak/>
        <w:t>Discussion</w:t>
      </w:r>
    </w:p>
    <w:p w14:paraId="74C8B075" w14:textId="77777777" w:rsidR="00481D1E" w:rsidRDefault="00481D1E" w:rsidP="00481D1E">
      <w:pPr>
        <w:pStyle w:val="ListParagraph"/>
        <w:numPr>
          <w:ilvl w:val="0"/>
          <w:numId w:val="21"/>
        </w:numPr>
      </w:pPr>
      <w:r w:rsidRPr="00191513">
        <w:t>Hemolymph pH decreased significantly in OX compared with RA and ISO. Blood (hemolymph) pH is dependent on concentration of HCO3 and pCO2; pH decreases with increased pCO2 (respiratory acidosis) and decreased HCO3 (metabolic acidosis). In this study, there was a statistically insignificant increase in pCO2 and decrease in HCO3 during exposure to 100% oxygen that together might have contributed to the significant change in pH</w:t>
      </w:r>
      <w:r>
        <w:t xml:space="preserve"> – suspect hypoventilation</w:t>
      </w:r>
    </w:p>
    <w:p w14:paraId="5226776F" w14:textId="77777777" w:rsidR="00481D1E" w:rsidRDefault="00481D1E" w:rsidP="00481D1E">
      <w:pPr>
        <w:pStyle w:val="ListParagraph"/>
        <w:numPr>
          <w:ilvl w:val="0"/>
          <w:numId w:val="21"/>
        </w:numPr>
      </w:pPr>
      <w:r w:rsidRPr="00FB3D93">
        <w:t>For both scorpion species in this study, pO2 significantly increased when exposed to OX and increased further with ISO</w:t>
      </w:r>
    </w:p>
    <w:p w14:paraId="28C0ABC7" w14:textId="77777777" w:rsidR="00481D1E" w:rsidRDefault="00481D1E" w:rsidP="00481D1E">
      <w:pPr>
        <w:pStyle w:val="ListParagraph"/>
        <w:numPr>
          <w:ilvl w:val="1"/>
          <w:numId w:val="21"/>
        </w:numPr>
      </w:pPr>
      <w:r w:rsidRPr="00FB3D93">
        <w:t xml:space="preserve"> Arachnids perform gas exchange by passive diffusion across book lungs.</w:t>
      </w:r>
      <w:r>
        <w:t xml:space="preserve"> Spiracle diameter can also </w:t>
      </w:r>
      <w:proofErr w:type="spellStart"/>
      <w:proofErr w:type="gramStart"/>
      <w:r>
        <w:t>increased</w:t>
      </w:r>
      <w:proofErr w:type="spellEnd"/>
      <w:proofErr w:type="gramEnd"/>
      <w:r>
        <w:t xml:space="preserve"> with exercise </w:t>
      </w:r>
    </w:p>
    <w:p w14:paraId="028AAB97" w14:textId="77777777" w:rsidR="00481D1E" w:rsidRDefault="00481D1E" w:rsidP="00481D1E">
      <w:pPr>
        <w:pStyle w:val="ListParagraph"/>
        <w:numPr>
          <w:ilvl w:val="1"/>
          <w:numId w:val="21"/>
        </w:numPr>
      </w:pPr>
      <w:r>
        <w:t xml:space="preserve">All animals showed increased activity in response to </w:t>
      </w:r>
      <w:proofErr w:type="spellStart"/>
      <w:r>
        <w:t>iso</w:t>
      </w:r>
      <w:proofErr w:type="spellEnd"/>
      <w:r>
        <w:t>, which could have caused spiracle dilation</w:t>
      </w:r>
    </w:p>
    <w:p w14:paraId="1CE57F79" w14:textId="77777777" w:rsidR="00481D1E" w:rsidRDefault="00481D1E" w:rsidP="00481D1E">
      <w:pPr>
        <w:pStyle w:val="ListParagraph"/>
        <w:numPr>
          <w:ilvl w:val="0"/>
          <w:numId w:val="21"/>
        </w:numPr>
      </w:pPr>
      <w:r w:rsidRPr="00445246">
        <w:t>PD had a more dramatic pO2 increase in isoflurane compared with HL despite being in oxygen for less time on average (shorter induction time) and thus inhaling lower FiO2.</w:t>
      </w:r>
    </w:p>
    <w:p w14:paraId="2B58009B" w14:textId="77777777" w:rsidR="00481D1E" w:rsidRPr="00445246" w:rsidRDefault="00481D1E" w:rsidP="00481D1E">
      <w:pPr>
        <w:pStyle w:val="ListParagraph"/>
        <w:numPr>
          <w:ilvl w:val="1"/>
          <w:numId w:val="21"/>
        </w:numPr>
      </w:pPr>
      <w:r w:rsidRPr="00445246">
        <w:t>Possible difference in respiratory and hemocyanin physiology or different reaction to inhalant anesthesia with PD being more relaxed during induction compared with HL and thus ventilating more effectively</w:t>
      </w:r>
    </w:p>
    <w:p w14:paraId="6A1BF4E6" w14:textId="77777777" w:rsidR="00481D1E" w:rsidRDefault="00481D1E" w:rsidP="00481D1E">
      <w:pPr>
        <w:pStyle w:val="ListParagraph"/>
        <w:numPr>
          <w:ilvl w:val="0"/>
          <w:numId w:val="21"/>
        </w:numPr>
      </w:pPr>
      <w:r w:rsidRPr="009A7316">
        <w:t>In RA, PD had a lower pH and higher pCO2, TCO2, and HCO3 than HL</w:t>
      </w:r>
      <w:r>
        <w:t>—species differences even at baseline</w:t>
      </w:r>
    </w:p>
    <w:p w14:paraId="4D8F1D68" w14:textId="77777777" w:rsidR="00481D1E" w:rsidRPr="00E4082E" w:rsidRDefault="00481D1E" w:rsidP="00481D1E">
      <w:pPr>
        <w:pStyle w:val="ListParagraph"/>
        <w:numPr>
          <w:ilvl w:val="0"/>
          <w:numId w:val="21"/>
        </w:numPr>
      </w:pPr>
      <w:r w:rsidRPr="00E4082E">
        <w:t>Induction times for PD were shorter than for HL; HL had rougher inductions compared with PD</w:t>
      </w:r>
      <w:r>
        <w:t xml:space="preserve"> and seemed more irritated by the anesthetic gas</w:t>
      </w:r>
    </w:p>
    <w:p w14:paraId="0667F04F" w14:textId="77777777" w:rsidR="00481D1E" w:rsidRDefault="00481D1E" w:rsidP="00481D1E">
      <w:pPr>
        <w:pStyle w:val="ListParagraph"/>
        <w:numPr>
          <w:ilvl w:val="0"/>
          <w:numId w:val="21"/>
        </w:numPr>
      </w:pPr>
      <w:r>
        <w:t>Recovery times variable</w:t>
      </w:r>
    </w:p>
    <w:p w14:paraId="5C7AABCA" w14:textId="77777777" w:rsidR="00481D1E" w:rsidRPr="00E4082E" w:rsidRDefault="00481D1E" w:rsidP="00481D1E">
      <w:pPr>
        <w:pStyle w:val="ListParagraph"/>
        <w:numPr>
          <w:ilvl w:val="0"/>
          <w:numId w:val="21"/>
        </w:numPr>
      </w:pPr>
      <w:r w:rsidRPr="00E4082E">
        <w:t>Longer inductions and increased movement of HL scorpions may explain the decreased pH compared with PD, possibly as a result of metabolic acidosis.</w:t>
      </w:r>
    </w:p>
    <w:p w14:paraId="691D3AD9" w14:textId="77777777" w:rsidR="00481D1E" w:rsidRPr="00E4082E" w:rsidRDefault="00481D1E" w:rsidP="00481D1E">
      <w:pPr>
        <w:pStyle w:val="ListParagraph"/>
        <w:numPr>
          <w:ilvl w:val="0"/>
          <w:numId w:val="21"/>
        </w:numPr>
      </w:pPr>
      <w:r w:rsidRPr="00E4082E">
        <w:t>Hemocyanin concentrations were not measured in the current study</w:t>
      </w:r>
      <w:r>
        <w:t xml:space="preserve">, therefore </w:t>
      </w:r>
      <w:r w:rsidRPr="00E4082E">
        <w:t>BE and SO2 values are likely not accurate, and their clinical utility may be difficult to determine</w:t>
      </w:r>
    </w:p>
    <w:p w14:paraId="21678833" w14:textId="77777777" w:rsidR="00481D1E" w:rsidRDefault="00481D1E" w:rsidP="00481D1E">
      <w:pPr>
        <w:pStyle w:val="ListParagraph"/>
        <w:numPr>
          <w:ilvl w:val="0"/>
          <w:numId w:val="21"/>
        </w:numPr>
      </w:pPr>
      <w:r>
        <w:t>TCO2 and HCO3 also likely not accurate in these species due to calculation method</w:t>
      </w:r>
    </w:p>
    <w:p w14:paraId="1BE0DF8D" w14:textId="77777777" w:rsidR="00481D1E" w:rsidRPr="00802DF6" w:rsidRDefault="00481D1E" w:rsidP="00481D1E">
      <w:pPr>
        <w:pStyle w:val="ListParagraph"/>
        <w:numPr>
          <w:ilvl w:val="0"/>
          <w:numId w:val="21"/>
        </w:numPr>
      </w:pPr>
      <w:r>
        <w:t>One limitation</w:t>
      </w:r>
      <w:r w:rsidRPr="00802DF6">
        <w:t xml:space="preserve"> is the possibility that the 2.5–3 </w:t>
      </w:r>
      <w:proofErr w:type="spellStart"/>
      <w:r w:rsidRPr="00802DF6">
        <w:t>hr</w:t>
      </w:r>
      <w:proofErr w:type="spellEnd"/>
      <w:r w:rsidRPr="00802DF6">
        <w:t xml:space="preserve"> washout period between oxygen and isoflurane trials did not allow for complete oxygen washout</w:t>
      </w:r>
    </w:p>
    <w:p w14:paraId="1CECE197" w14:textId="77777777" w:rsidR="00481D1E" w:rsidRPr="007A7792" w:rsidRDefault="00481D1E" w:rsidP="00481D1E"/>
    <w:p w14:paraId="46972EA1" w14:textId="77777777" w:rsidR="00481D1E" w:rsidRDefault="00481D1E" w:rsidP="00481D1E">
      <w:r>
        <w:t>Conclusions</w:t>
      </w:r>
    </w:p>
    <w:p w14:paraId="30E4A8FC" w14:textId="77777777" w:rsidR="00481D1E" w:rsidRPr="00802DF6" w:rsidRDefault="00481D1E" w:rsidP="00481D1E">
      <w:pPr>
        <w:pStyle w:val="ListParagraph"/>
        <w:numPr>
          <w:ilvl w:val="0"/>
          <w:numId w:val="22"/>
        </w:numPr>
      </w:pPr>
      <w:r w:rsidRPr="00802DF6">
        <w:t>Isoflurane by chamber induction is an effective method for general anesthesia in HL and PD scorpions</w:t>
      </w:r>
    </w:p>
    <w:p w14:paraId="4F33A4DC" w14:textId="77777777" w:rsidR="00481D1E" w:rsidRPr="00802DF6" w:rsidRDefault="00481D1E" w:rsidP="00481D1E">
      <w:pPr>
        <w:pStyle w:val="ListParagraph"/>
        <w:numPr>
          <w:ilvl w:val="0"/>
          <w:numId w:val="22"/>
        </w:numPr>
      </w:pPr>
      <w:r w:rsidRPr="00802DF6">
        <w:t>However, because HL scorpions experienced rough anesthetic inductions, other methods for this species should be prioritized.</w:t>
      </w:r>
    </w:p>
    <w:p w14:paraId="0B48798C" w14:textId="77777777" w:rsidR="00481D1E" w:rsidRPr="00802DF6" w:rsidRDefault="00481D1E" w:rsidP="00481D1E">
      <w:pPr>
        <w:pStyle w:val="ListParagraph"/>
        <w:numPr>
          <w:ilvl w:val="0"/>
          <w:numId w:val="22"/>
        </w:numPr>
      </w:pPr>
      <w:r w:rsidRPr="00802DF6">
        <w:t>Scorpions experience significantly elevated pO2 under isoflurane anesthesia compared with room air, so preoxygenation before inhalant anesthesia is likely not beneficial.</w:t>
      </w:r>
    </w:p>
    <w:p w14:paraId="766B995E" w14:textId="77777777" w:rsidR="00481D1E" w:rsidRPr="00DD568B" w:rsidRDefault="00481D1E" w:rsidP="00481D1E">
      <w:pPr>
        <w:pStyle w:val="ListParagraph"/>
        <w:numPr>
          <w:ilvl w:val="0"/>
          <w:numId w:val="22"/>
        </w:numPr>
      </w:pPr>
      <w:r>
        <w:t>O</w:t>
      </w:r>
      <w:r w:rsidRPr="00802DF6">
        <w:t>xygen supplementation alone caused a mixed acidosis in HL scorpions</w:t>
      </w:r>
    </w:p>
    <w:p w14:paraId="10617881" w14:textId="77777777" w:rsidR="00481D1E" w:rsidRDefault="00481D1E">
      <w:bookmarkStart w:id="0" w:name="_GoBack"/>
      <w:bookmarkEnd w:id="0"/>
    </w:p>
    <w:sectPr w:rsidR="00481D1E">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0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A21F4B"/>
    <w:multiLevelType w:val="hybridMultilevel"/>
    <w:tmpl w:val="94BC5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547DF8"/>
    <w:multiLevelType w:val="multilevel"/>
    <w:tmpl w:val="B8040A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E6757D"/>
    <w:multiLevelType w:val="hybridMultilevel"/>
    <w:tmpl w:val="3F4A6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E94FD2"/>
    <w:multiLevelType w:val="multilevel"/>
    <w:tmpl w:val="E604B0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3CF170B"/>
    <w:multiLevelType w:val="multilevel"/>
    <w:tmpl w:val="5C6E7B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4C171A0"/>
    <w:multiLevelType w:val="multilevel"/>
    <w:tmpl w:val="BAFA85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C360C14"/>
    <w:multiLevelType w:val="hybridMultilevel"/>
    <w:tmpl w:val="2CDEB7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8DB12C5"/>
    <w:multiLevelType w:val="hybridMultilevel"/>
    <w:tmpl w:val="9FCAA9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B285AA7"/>
    <w:multiLevelType w:val="hybridMultilevel"/>
    <w:tmpl w:val="E0081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E7298B"/>
    <w:multiLevelType w:val="multilevel"/>
    <w:tmpl w:val="089205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A7B41DC"/>
    <w:multiLevelType w:val="hybridMultilevel"/>
    <w:tmpl w:val="CAB4E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EDD5E22"/>
    <w:multiLevelType w:val="hybridMultilevel"/>
    <w:tmpl w:val="F2845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8C61D99"/>
    <w:multiLevelType w:val="multilevel"/>
    <w:tmpl w:val="560A1F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9CA212A"/>
    <w:multiLevelType w:val="multilevel"/>
    <w:tmpl w:val="EFECCF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D8519B0"/>
    <w:multiLevelType w:val="multilevel"/>
    <w:tmpl w:val="5B72C0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0D24104"/>
    <w:multiLevelType w:val="multilevel"/>
    <w:tmpl w:val="0DA6F2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A832C4F"/>
    <w:multiLevelType w:val="hybridMultilevel"/>
    <w:tmpl w:val="133C3D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B075292"/>
    <w:multiLevelType w:val="multilevel"/>
    <w:tmpl w:val="BDF4E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C1C338C"/>
    <w:multiLevelType w:val="multilevel"/>
    <w:tmpl w:val="880220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D047831"/>
    <w:multiLevelType w:val="multilevel"/>
    <w:tmpl w:val="612C73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6"/>
  </w:num>
  <w:num w:numId="2">
    <w:abstractNumId w:val="10"/>
  </w:num>
  <w:num w:numId="3">
    <w:abstractNumId w:val="6"/>
  </w:num>
  <w:num w:numId="4">
    <w:abstractNumId w:val="19"/>
  </w:num>
  <w:num w:numId="5">
    <w:abstractNumId w:val="14"/>
  </w:num>
  <w:num w:numId="6">
    <w:abstractNumId w:val="15"/>
  </w:num>
  <w:num w:numId="7">
    <w:abstractNumId w:val="18"/>
  </w:num>
  <w:num w:numId="8">
    <w:abstractNumId w:val="13"/>
  </w:num>
  <w:num w:numId="9">
    <w:abstractNumId w:val="12"/>
  </w:num>
  <w:num w:numId="10">
    <w:abstractNumId w:val="4"/>
  </w:num>
  <w:num w:numId="11">
    <w:abstractNumId w:val="5"/>
  </w:num>
  <w:num w:numId="12">
    <w:abstractNumId w:val="3"/>
  </w:num>
  <w:num w:numId="13">
    <w:abstractNumId w:val="1"/>
  </w:num>
  <w:num w:numId="14">
    <w:abstractNumId w:val="1"/>
    <w:lvlOverride w:ilvl="3">
      <w:lvl w:ilvl="3">
        <w:numFmt w:val="bullet"/>
        <w:lvlText w:val=""/>
        <w:lvlJc w:val="left"/>
        <w:pPr>
          <w:tabs>
            <w:tab w:val="num" w:pos="2880"/>
          </w:tabs>
          <w:ind w:left="2880" w:hanging="360"/>
        </w:pPr>
        <w:rPr>
          <w:rFonts w:ascii="Symbol" w:hAnsi="Symbol" w:hint="default"/>
          <w:sz w:val="20"/>
        </w:rPr>
      </w:lvl>
    </w:lvlOverride>
  </w:num>
  <w:num w:numId="15">
    <w:abstractNumId w:val="17"/>
  </w:num>
  <w:num w:numId="16">
    <w:abstractNumId w:val="9"/>
  </w:num>
  <w:num w:numId="17">
    <w:abstractNumId w:val="9"/>
    <w:lvlOverride w:ilvl="3">
      <w:lvl w:ilvl="3">
        <w:numFmt w:val="bullet"/>
        <w:lvlText w:val=""/>
        <w:lvlJc w:val="left"/>
        <w:pPr>
          <w:tabs>
            <w:tab w:val="num" w:pos="2880"/>
          </w:tabs>
          <w:ind w:left="2880" w:hanging="360"/>
        </w:pPr>
        <w:rPr>
          <w:rFonts w:ascii="Symbol" w:hAnsi="Symbol" w:hint="default"/>
          <w:sz w:val="20"/>
        </w:rPr>
      </w:lvl>
    </w:lvlOverride>
  </w:num>
  <w:num w:numId="18">
    <w:abstractNumId w:val="0"/>
  </w:num>
  <w:num w:numId="19">
    <w:abstractNumId w:val="8"/>
  </w:num>
  <w:num w:numId="20">
    <w:abstractNumId w:val="2"/>
  </w:num>
  <w:num w:numId="21">
    <w:abstractNumId w:val="7"/>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441B"/>
    <w:rsid w:val="00005210"/>
    <w:rsid w:val="00007862"/>
    <w:rsid w:val="000A00C5"/>
    <w:rsid w:val="000C2231"/>
    <w:rsid w:val="000E7CF5"/>
    <w:rsid w:val="001475E4"/>
    <w:rsid w:val="00162C93"/>
    <w:rsid w:val="00167EF8"/>
    <w:rsid w:val="001B074D"/>
    <w:rsid w:val="00251FD7"/>
    <w:rsid w:val="00281D51"/>
    <w:rsid w:val="00286113"/>
    <w:rsid w:val="002E76C0"/>
    <w:rsid w:val="00330EA5"/>
    <w:rsid w:val="00350AF1"/>
    <w:rsid w:val="003A03C2"/>
    <w:rsid w:val="003A2DA2"/>
    <w:rsid w:val="003E5D0E"/>
    <w:rsid w:val="00481D1E"/>
    <w:rsid w:val="004A4BBC"/>
    <w:rsid w:val="004C7EB1"/>
    <w:rsid w:val="004D0C3D"/>
    <w:rsid w:val="004D35CF"/>
    <w:rsid w:val="004E73FD"/>
    <w:rsid w:val="00524021"/>
    <w:rsid w:val="0053632E"/>
    <w:rsid w:val="00545944"/>
    <w:rsid w:val="00587740"/>
    <w:rsid w:val="00611146"/>
    <w:rsid w:val="006445BF"/>
    <w:rsid w:val="006471CD"/>
    <w:rsid w:val="006A6F23"/>
    <w:rsid w:val="006B4A6F"/>
    <w:rsid w:val="00716E0E"/>
    <w:rsid w:val="00753A56"/>
    <w:rsid w:val="00774F2D"/>
    <w:rsid w:val="00776427"/>
    <w:rsid w:val="0078704E"/>
    <w:rsid w:val="007915D9"/>
    <w:rsid w:val="007B762A"/>
    <w:rsid w:val="008362C5"/>
    <w:rsid w:val="008476DF"/>
    <w:rsid w:val="00852EC3"/>
    <w:rsid w:val="0085681B"/>
    <w:rsid w:val="00857EE8"/>
    <w:rsid w:val="008A549D"/>
    <w:rsid w:val="008D192B"/>
    <w:rsid w:val="00907A2C"/>
    <w:rsid w:val="009103AC"/>
    <w:rsid w:val="009276F6"/>
    <w:rsid w:val="009801F0"/>
    <w:rsid w:val="00993F13"/>
    <w:rsid w:val="009B6061"/>
    <w:rsid w:val="009C5F41"/>
    <w:rsid w:val="009D704B"/>
    <w:rsid w:val="009E069A"/>
    <w:rsid w:val="009F380E"/>
    <w:rsid w:val="00A43795"/>
    <w:rsid w:val="00AB024F"/>
    <w:rsid w:val="00AB50AD"/>
    <w:rsid w:val="00AC5D55"/>
    <w:rsid w:val="00AD0DAA"/>
    <w:rsid w:val="00B05168"/>
    <w:rsid w:val="00B82016"/>
    <w:rsid w:val="00B97892"/>
    <w:rsid w:val="00BB7DF7"/>
    <w:rsid w:val="00BC2DA1"/>
    <w:rsid w:val="00BD2EB6"/>
    <w:rsid w:val="00C1570E"/>
    <w:rsid w:val="00CA2258"/>
    <w:rsid w:val="00CB028E"/>
    <w:rsid w:val="00CF0996"/>
    <w:rsid w:val="00D00CFB"/>
    <w:rsid w:val="00D14355"/>
    <w:rsid w:val="00D63813"/>
    <w:rsid w:val="00D75204"/>
    <w:rsid w:val="00DC2CAE"/>
    <w:rsid w:val="00DE6541"/>
    <w:rsid w:val="00E4441B"/>
    <w:rsid w:val="00E81A61"/>
    <w:rsid w:val="00E96149"/>
    <w:rsid w:val="00EB181D"/>
    <w:rsid w:val="00EB4D06"/>
    <w:rsid w:val="00ED02E6"/>
    <w:rsid w:val="00F14344"/>
    <w:rsid w:val="00F17206"/>
    <w:rsid w:val="00F30CF6"/>
    <w:rsid w:val="00F761E1"/>
    <w:rsid w:val="00FE78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2603D48"/>
  <w15:chartTrackingRefBased/>
  <w15:docId w15:val="{2506FE91-A76F-4E12-BE1B-9584057A3A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0516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7" Type="http://schemas.openxmlformats.org/officeDocument/2006/relationships/hyperlink" Target="https://jscholarship.library.jhu.edu/bitstream/handle/1774.2/40736/BERGDALE-THESIS-2017.pdf" TargetMode="External"/><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5" Type="http://schemas.openxmlformats.org/officeDocument/2006/relationships/image" Target="media/image1.png"/><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3230</Words>
  <Characters>18411</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North Carolina State University</Company>
  <LinksUpToDate>false</LinksUpToDate>
  <CharactersWithSpaces>21598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Kyra Knutson</dc:creator>
  <cp:keywords/>
  <dc:description/>
  <cp:lastModifiedBy>Tara Myers Harrison</cp:lastModifiedBy>
  <cp:revision>2</cp:revision>
  <dcterms:created xsi:type="dcterms:W3CDTF">2020-09-09T16:37:00Z</dcterms:created>
  <dcterms:modified xsi:type="dcterms:W3CDTF">2020-09-09T16:37:00Z</dcterms:modified>
</cp:coreProperties>
</file>