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B6BCE" w14:textId="77777777" w:rsidR="00141B35" w:rsidRPr="00752298" w:rsidRDefault="00141B35" w:rsidP="00141B35">
      <w:pPr>
        <w:rPr>
          <w:rFonts w:ascii="Times New Roman" w:hAnsi="Times New Roman" w:cs="Times New Roman"/>
        </w:rPr>
      </w:pPr>
      <w:r w:rsidRPr="00752298">
        <w:rPr>
          <w:rFonts w:ascii="Times New Roman" w:eastAsia="Times New Roman" w:hAnsi="Times New Roman" w:cs="Times New Roman"/>
        </w:rPr>
        <w:t xml:space="preserve">Rosser et al. </w:t>
      </w:r>
      <w:r>
        <w:rPr>
          <w:rFonts w:ascii="Times New Roman" w:eastAsia="Times New Roman" w:hAnsi="Times New Roman" w:cs="Times New Roman"/>
        </w:rPr>
        <w:t>“</w:t>
      </w:r>
      <w:r w:rsidRPr="00752298">
        <w:rPr>
          <w:rFonts w:ascii="Times New Roman" w:hAnsi="Times New Roman" w:cs="Times New Roman"/>
        </w:rPr>
        <w:t xml:space="preserve">Arrested Development of </w:t>
      </w:r>
      <w:proofErr w:type="spellStart"/>
      <w:r w:rsidRPr="00752298">
        <w:rPr>
          <w:rFonts w:ascii="Times New Roman" w:hAnsi="Times New Roman" w:cs="Times New Roman"/>
          <w:i/>
          <w:iCs/>
        </w:rPr>
        <w:t>Henneguya</w:t>
      </w:r>
      <w:proofErr w:type="spellEnd"/>
      <w:r w:rsidRPr="00752298">
        <w:rPr>
          <w:rFonts w:ascii="Times New Roman" w:hAnsi="Times New Roman" w:cs="Times New Roman"/>
          <w:i/>
          <w:iCs/>
        </w:rPr>
        <w:t xml:space="preserve"> </w:t>
      </w:r>
      <w:proofErr w:type="spellStart"/>
      <w:r w:rsidRPr="00752298">
        <w:rPr>
          <w:rFonts w:ascii="Times New Roman" w:hAnsi="Times New Roman" w:cs="Times New Roman"/>
          <w:i/>
          <w:iCs/>
        </w:rPr>
        <w:t>ictaluri</w:t>
      </w:r>
      <w:proofErr w:type="spellEnd"/>
      <w:r w:rsidRPr="00752298">
        <w:rPr>
          <w:rFonts w:ascii="Times New Roman" w:hAnsi="Times New Roman" w:cs="Times New Roman"/>
        </w:rPr>
        <w:t xml:space="preserve"> (Cnidaria: </w:t>
      </w:r>
      <w:proofErr w:type="spellStart"/>
      <w:r w:rsidRPr="00752298">
        <w:rPr>
          <w:rFonts w:ascii="Times New Roman" w:hAnsi="Times New Roman" w:cs="Times New Roman"/>
        </w:rPr>
        <w:t>Myxobolidae</w:t>
      </w:r>
      <w:proofErr w:type="spellEnd"/>
      <w:r w:rsidRPr="00752298">
        <w:rPr>
          <w:rFonts w:ascii="Times New Roman" w:hAnsi="Times New Roman" w:cs="Times New Roman"/>
        </w:rPr>
        <w:t>) in ♀ Channel Catfish × ♂ Blue Catfish Hybrids</w:t>
      </w:r>
      <w:r>
        <w:rPr>
          <w:rFonts w:ascii="Times New Roman" w:hAnsi="Times New Roman" w:cs="Times New Roman"/>
        </w:rPr>
        <w:t>.”</w:t>
      </w:r>
      <w:r w:rsidRPr="00752298">
        <w:rPr>
          <w:rFonts w:ascii="Times New Roman" w:hAnsi="Times New Roman" w:cs="Times New Roman"/>
        </w:rPr>
        <w:t xml:space="preserve"> </w:t>
      </w:r>
      <w:r w:rsidRPr="00752298">
        <w:rPr>
          <w:rFonts w:ascii="Times New Roman" w:hAnsi="Times New Roman" w:cs="Times New Roman"/>
          <w:i/>
          <w:iCs/>
        </w:rPr>
        <w:t>Journal of Aquatic Animal Health</w:t>
      </w:r>
      <w:r>
        <w:rPr>
          <w:rFonts w:ascii="Times New Roman" w:hAnsi="Times New Roman" w:cs="Times New Roman"/>
        </w:rPr>
        <w:t xml:space="preserve">. 2019. </w:t>
      </w:r>
      <w:r w:rsidRPr="00752298">
        <w:rPr>
          <w:rFonts w:ascii="Times New Roman" w:hAnsi="Times New Roman" w:cs="Times New Roman"/>
        </w:rPr>
        <w:t>31:201–213</w:t>
      </w:r>
      <w:r>
        <w:rPr>
          <w:rFonts w:ascii="Times New Roman" w:hAnsi="Times New Roman" w:cs="Times New Roman"/>
        </w:rPr>
        <w:t>.</w:t>
      </w:r>
    </w:p>
    <w:p w14:paraId="251373B6" w14:textId="77777777" w:rsidR="00141B35" w:rsidRDefault="00141B35" w:rsidP="00141B35"/>
    <w:p w14:paraId="764AD798" w14:textId="77777777" w:rsidR="00141B35" w:rsidRDefault="00141B35" w:rsidP="00141B35">
      <w:pPr>
        <w:rPr>
          <w:b/>
        </w:rPr>
      </w:pPr>
      <w:r>
        <w:t xml:space="preserve">Abstract: </w:t>
      </w:r>
      <w:proofErr w:type="spellStart"/>
      <w:r w:rsidRPr="005B238D">
        <w:rPr>
          <w:b/>
          <w:i/>
          <w:iCs/>
        </w:rPr>
        <w:t>Henneguya</w:t>
      </w:r>
      <w:proofErr w:type="spellEnd"/>
      <w:r w:rsidRPr="005B238D">
        <w:rPr>
          <w:b/>
          <w:i/>
          <w:iCs/>
        </w:rPr>
        <w:t xml:space="preserve"> </w:t>
      </w:r>
      <w:proofErr w:type="spellStart"/>
      <w:r w:rsidRPr="005B238D">
        <w:rPr>
          <w:b/>
          <w:i/>
          <w:iCs/>
        </w:rPr>
        <w:t>ictaluri</w:t>
      </w:r>
      <w:proofErr w:type="spellEnd"/>
      <w:r w:rsidRPr="005B238D">
        <w:rPr>
          <w:b/>
        </w:rPr>
        <w:t xml:space="preserve"> is the etiologic agent of proliferative gill disease (PGD) in farm‐raised Channel Catfish </w:t>
      </w:r>
      <w:proofErr w:type="spellStart"/>
      <w:r w:rsidRPr="005B238D">
        <w:rPr>
          <w:b/>
          <w:i/>
          <w:iCs/>
        </w:rPr>
        <w:t>Ictalurus</w:t>
      </w:r>
      <w:proofErr w:type="spellEnd"/>
      <w:r w:rsidRPr="005B238D">
        <w:rPr>
          <w:b/>
          <w:i/>
          <w:iCs/>
        </w:rPr>
        <w:t xml:space="preserve"> punctatus</w:t>
      </w:r>
      <w:r w:rsidRPr="005B238D">
        <w:rPr>
          <w:b/>
        </w:rPr>
        <w:t xml:space="preserve"> and hybrid catfish in the southeastern United States, and significant annual losses</w:t>
      </w:r>
      <w:r>
        <w:t xml:space="preserve"> are attributed to this disease. Research suggests that </w:t>
      </w:r>
      <w:r>
        <w:rPr>
          <w:i/>
          <w:iCs/>
        </w:rPr>
        <w:t>H. </w:t>
      </w:r>
      <w:proofErr w:type="spellStart"/>
      <w:r>
        <w:rPr>
          <w:i/>
          <w:iCs/>
        </w:rPr>
        <w:t>ictaluri</w:t>
      </w:r>
      <w:proofErr w:type="spellEnd"/>
      <w:r>
        <w:t xml:space="preserve"> infection dynamics in Blue Catfish </w:t>
      </w:r>
      <w:r>
        <w:rPr>
          <w:i/>
          <w:iCs/>
        </w:rPr>
        <w:t>I. </w:t>
      </w:r>
      <w:proofErr w:type="spellStart"/>
      <w:r>
        <w:rPr>
          <w:i/>
          <w:iCs/>
        </w:rPr>
        <w:t>furcatus</w:t>
      </w:r>
      <w:proofErr w:type="spellEnd"/>
      <w:r>
        <w:t xml:space="preserve"> and hybrid catfish (Channel Catfish × Blue Catfish) differ from those in Channel Catfish. Two separate infectivity trials were conducted to </w:t>
      </w:r>
      <w:r w:rsidRPr="005B238D">
        <w:rPr>
          <w:b/>
        </w:rPr>
        <w:t xml:space="preserve">investigate </w:t>
      </w:r>
      <w:r w:rsidRPr="005B238D">
        <w:rPr>
          <w:b/>
          <w:i/>
          <w:iCs/>
        </w:rPr>
        <w:t>H. </w:t>
      </w:r>
      <w:proofErr w:type="spellStart"/>
      <w:r w:rsidRPr="005B238D">
        <w:rPr>
          <w:b/>
          <w:i/>
          <w:iCs/>
        </w:rPr>
        <w:t>ictaluri</w:t>
      </w:r>
      <w:proofErr w:type="spellEnd"/>
      <w:r w:rsidRPr="005B238D">
        <w:rPr>
          <w:b/>
        </w:rPr>
        <w:t xml:space="preserve"> development in Channel Catfish, Blue Catfish, and their hybrids</w:t>
      </w:r>
      <w:r>
        <w:t xml:space="preserve">. On two separate occasions with two different year‐classes, </w:t>
      </w:r>
      <w:r w:rsidRPr="005B238D">
        <w:rPr>
          <w:b/>
        </w:rPr>
        <w:t xml:space="preserve">fish were exposed to pond water containing </w:t>
      </w:r>
      <w:r w:rsidRPr="005B238D">
        <w:rPr>
          <w:b/>
          <w:i/>
          <w:iCs/>
        </w:rPr>
        <w:t>H. </w:t>
      </w:r>
      <w:proofErr w:type="spellStart"/>
      <w:r w:rsidRPr="005B238D">
        <w:rPr>
          <w:b/>
          <w:i/>
          <w:iCs/>
        </w:rPr>
        <w:t>ictaluri</w:t>
      </w:r>
      <w:proofErr w:type="spellEnd"/>
      <w:r w:rsidRPr="005B238D">
        <w:rPr>
          <w:b/>
        </w:rPr>
        <w:t xml:space="preserve"> actinospores and sampled weekly for 12 weeks (trial 1) or 14 weeks (trial 2)</w:t>
      </w:r>
      <w:r>
        <w:t xml:space="preserve">. In trial 1, the presence of </w:t>
      </w:r>
      <w:r>
        <w:rPr>
          <w:i/>
          <w:iCs/>
        </w:rPr>
        <w:t>H. </w:t>
      </w:r>
      <w:proofErr w:type="spellStart"/>
      <w:r>
        <w:rPr>
          <w:i/>
          <w:iCs/>
        </w:rPr>
        <w:t>ictaluri</w:t>
      </w:r>
      <w:proofErr w:type="spellEnd"/>
      <w:r>
        <w:t xml:space="preserve"> was evaluated histologically and by quantitative PCR of fish tissues, including gills, blood, anterior kidney, brain, heart, liver, posterior kidney, spleen, and stomach. </w:t>
      </w:r>
      <w:proofErr w:type="spellStart"/>
      <w:r w:rsidRPr="005B238D">
        <w:rPr>
          <w:b/>
          <w:i/>
          <w:iCs/>
        </w:rPr>
        <w:t>Henneguya</w:t>
      </w:r>
      <w:proofErr w:type="spellEnd"/>
      <w:r w:rsidRPr="005B238D">
        <w:rPr>
          <w:b/>
          <w:i/>
          <w:iCs/>
        </w:rPr>
        <w:t xml:space="preserve"> </w:t>
      </w:r>
      <w:proofErr w:type="spellStart"/>
      <w:r w:rsidRPr="005B238D">
        <w:rPr>
          <w:b/>
          <w:i/>
          <w:iCs/>
        </w:rPr>
        <w:t>ictaluri</w:t>
      </w:r>
      <w:proofErr w:type="spellEnd"/>
      <w:r w:rsidRPr="005B238D">
        <w:rPr>
          <w:b/>
          <w:i/>
          <w:iCs/>
        </w:rPr>
        <w:t xml:space="preserve"> </w:t>
      </w:r>
      <w:r w:rsidRPr="005B238D">
        <w:rPr>
          <w:b/>
        </w:rPr>
        <w:t>DNA was detected in significantly higher concentrations throughout multiple organ systems in the Channel Catfish compared to the hybrid catfish and Blue Catfish, with the gills having higher quantities.</w:t>
      </w:r>
      <w:r>
        <w:t xml:space="preserve"> </w:t>
      </w:r>
      <w:proofErr w:type="spellStart"/>
      <w:r>
        <w:t>Myxospores</w:t>
      </w:r>
      <w:proofErr w:type="spellEnd"/>
      <w:r>
        <w:t xml:space="preserve"> were observed in Channel Catfish gill tissue at 8 weeks </w:t>
      </w:r>
      <w:proofErr w:type="spellStart"/>
      <w:r>
        <w:t>postexposure</w:t>
      </w:r>
      <w:proofErr w:type="spellEnd"/>
      <w:r>
        <w:t xml:space="preserve">. </w:t>
      </w:r>
      <w:r w:rsidRPr="005B238D">
        <w:rPr>
          <w:b/>
        </w:rPr>
        <w:t xml:space="preserve">No </w:t>
      </w:r>
      <w:proofErr w:type="spellStart"/>
      <w:r w:rsidRPr="005B238D">
        <w:rPr>
          <w:b/>
        </w:rPr>
        <w:t>myxospores</w:t>
      </w:r>
      <w:proofErr w:type="spellEnd"/>
      <w:r w:rsidRPr="005B238D">
        <w:rPr>
          <w:b/>
        </w:rPr>
        <w:t xml:space="preserve"> were observed in Blue Catfish or hybrid catfish.</w:t>
      </w:r>
      <w:r>
        <w:t xml:space="preserve"> The second trial focused on gills only and yielded similar results, with </w:t>
      </w:r>
      <w:r w:rsidRPr="005B238D">
        <w:rPr>
          <w:b/>
        </w:rPr>
        <w:t xml:space="preserve">Channel Catfish having significantly greater </w:t>
      </w:r>
      <w:r w:rsidRPr="005B238D">
        <w:rPr>
          <w:b/>
          <w:i/>
          <w:iCs/>
        </w:rPr>
        <w:t>H. </w:t>
      </w:r>
      <w:proofErr w:type="spellStart"/>
      <w:r w:rsidRPr="005B238D">
        <w:rPr>
          <w:b/>
          <w:i/>
          <w:iCs/>
        </w:rPr>
        <w:t>ictaluri</w:t>
      </w:r>
      <w:proofErr w:type="spellEnd"/>
      <w:r w:rsidRPr="005B238D">
        <w:rPr>
          <w:b/>
          <w:i/>
          <w:iCs/>
        </w:rPr>
        <w:t xml:space="preserve"> </w:t>
      </w:r>
      <w:r w:rsidRPr="005B238D">
        <w:rPr>
          <w:b/>
        </w:rPr>
        <w:t>DNA quantities than hybrids or Blue Catfish across all time points.</w:t>
      </w:r>
      <w:r>
        <w:t xml:space="preserve"> </w:t>
      </w:r>
      <w:proofErr w:type="spellStart"/>
      <w:r>
        <w:t>Myxospores</w:t>
      </w:r>
      <w:proofErr w:type="spellEnd"/>
      <w:r>
        <w:t xml:space="preserve"> were observed in Channel Catfish beginning at 6 weeks </w:t>
      </w:r>
      <w:proofErr w:type="spellStart"/>
      <w:r>
        <w:t>postexposure</w:t>
      </w:r>
      <w:proofErr w:type="spellEnd"/>
      <w:r>
        <w:t xml:space="preserve"> and were found in 36% (58/162) of Channel Catfish sampled for molecular and histological analysis during weeks 6–14. </w:t>
      </w:r>
      <w:proofErr w:type="spellStart"/>
      <w:r>
        <w:t>Myxospores</w:t>
      </w:r>
      <w:proofErr w:type="spellEnd"/>
      <w:r>
        <w:t xml:space="preserve"> in hybrid catfish were sparse, with single pseudocysts observed in two hybrid catfish (1.2%) at 14 weeks </w:t>
      </w:r>
      <w:proofErr w:type="spellStart"/>
      <w:r>
        <w:t>postexposure</w:t>
      </w:r>
      <w:proofErr w:type="spellEnd"/>
      <w:r>
        <w:t xml:space="preserve">. </w:t>
      </w:r>
      <w:r w:rsidRPr="005B238D">
        <w:rPr>
          <w:b/>
        </w:rPr>
        <w:t xml:space="preserve">These results imply arrested development of </w:t>
      </w:r>
      <w:r w:rsidRPr="005B238D">
        <w:rPr>
          <w:b/>
          <w:i/>
          <w:iCs/>
        </w:rPr>
        <w:t>H. </w:t>
      </w:r>
      <w:proofErr w:type="spellStart"/>
      <w:r w:rsidRPr="005B238D">
        <w:rPr>
          <w:b/>
          <w:i/>
          <w:iCs/>
        </w:rPr>
        <w:t>ictaluri</w:t>
      </w:r>
      <w:proofErr w:type="spellEnd"/>
      <w:r w:rsidRPr="005B238D">
        <w:rPr>
          <w:b/>
        </w:rPr>
        <w:t xml:space="preserve"> in hybrid catfish. As such, culture of hybrid catfish may be an effective management strategy to minimize the burden of PGD.</w:t>
      </w:r>
    </w:p>
    <w:p w14:paraId="303DD130" w14:textId="77777777" w:rsidR="005476E6" w:rsidRDefault="005476E6"/>
    <w:p w14:paraId="4E8EF8BA" w14:textId="77777777" w:rsidR="00141B35" w:rsidRDefault="00141B35">
      <w:r>
        <w:t>Questions (short-answer):</w:t>
      </w:r>
    </w:p>
    <w:p w14:paraId="5DE8CCB0" w14:textId="77777777" w:rsidR="00141B35" w:rsidRDefault="00141B35"/>
    <w:p w14:paraId="470162F7" w14:textId="77777777" w:rsidR="00141B35" w:rsidRDefault="001A25B4">
      <w:r>
        <w:t>Q: What</w:t>
      </w:r>
      <w:r w:rsidR="00141B35">
        <w:t xml:space="preserve"> is the causative organism o</w:t>
      </w:r>
      <w:r>
        <w:t>f proliferative gill disease in Channel Catfish?</w:t>
      </w:r>
    </w:p>
    <w:p w14:paraId="1B3E6E35" w14:textId="77777777" w:rsidR="00141B35" w:rsidRDefault="001A25B4">
      <w:r>
        <w:t xml:space="preserve">A: </w:t>
      </w:r>
      <w:proofErr w:type="spellStart"/>
      <w:r w:rsidR="00141B35">
        <w:rPr>
          <w:i/>
        </w:rPr>
        <w:t>Henneguya</w:t>
      </w:r>
      <w:proofErr w:type="spellEnd"/>
      <w:r w:rsidR="00141B35">
        <w:rPr>
          <w:i/>
        </w:rPr>
        <w:t xml:space="preserve"> </w:t>
      </w:r>
      <w:proofErr w:type="spellStart"/>
      <w:r w:rsidR="00141B35">
        <w:rPr>
          <w:i/>
        </w:rPr>
        <w:t>ictaluri</w:t>
      </w:r>
      <w:proofErr w:type="spellEnd"/>
    </w:p>
    <w:p w14:paraId="45169DE0" w14:textId="77777777" w:rsidR="00141B35" w:rsidRDefault="00141B35"/>
    <w:p w14:paraId="0FB3842D" w14:textId="77777777" w:rsidR="00141B35" w:rsidRDefault="001A25B4">
      <w:r>
        <w:t xml:space="preserve">Q: </w:t>
      </w:r>
      <w:r w:rsidR="00141B35">
        <w:t>What is the oligochaete host for development of the actinospore stage?</w:t>
      </w:r>
    </w:p>
    <w:p w14:paraId="74E2781A" w14:textId="77777777" w:rsidR="00141B35" w:rsidRDefault="001A25B4">
      <w:r>
        <w:t xml:space="preserve">A: </w:t>
      </w:r>
      <w:r w:rsidR="00141B35">
        <w:rPr>
          <w:i/>
        </w:rPr>
        <w:t xml:space="preserve">Dero </w:t>
      </w:r>
      <w:proofErr w:type="spellStart"/>
      <w:r w:rsidR="00141B35">
        <w:rPr>
          <w:i/>
        </w:rPr>
        <w:t>digitata</w:t>
      </w:r>
      <w:proofErr w:type="spellEnd"/>
    </w:p>
    <w:p w14:paraId="2F2681C5" w14:textId="77777777" w:rsidR="00141B35" w:rsidRDefault="00141B35"/>
    <w:p w14:paraId="734D3403" w14:textId="77777777" w:rsidR="00141B35" w:rsidRDefault="001A25B4">
      <w:r>
        <w:t xml:space="preserve">Q: </w:t>
      </w:r>
      <w:r w:rsidR="00141B35">
        <w:t xml:space="preserve">Summarize the lifecycle of </w:t>
      </w:r>
      <w:proofErr w:type="spellStart"/>
      <w:r w:rsidR="00141B35">
        <w:rPr>
          <w:i/>
        </w:rPr>
        <w:t>Henneguya</w:t>
      </w:r>
      <w:proofErr w:type="spellEnd"/>
      <w:r w:rsidR="00141B35">
        <w:rPr>
          <w:i/>
        </w:rPr>
        <w:t xml:space="preserve"> </w:t>
      </w:r>
      <w:proofErr w:type="spellStart"/>
      <w:r w:rsidR="00141B35">
        <w:rPr>
          <w:i/>
        </w:rPr>
        <w:t>ictaluri</w:t>
      </w:r>
      <w:proofErr w:type="spellEnd"/>
      <w:r w:rsidR="00141B35">
        <w:t xml:space="preserve"> in Channel Catfish.</w:t>
      </w:r>
    </w:p>
    <w:p w14:paraId="73D141EF" w14:textId="77777777" w:rsidR="00141B35" w:rsidRPr="00141B35" w:rsidRDefault="001A25B4" w:rsidP="00141B35">
      <w:pPr>
        <w:spacing w:before="240"/>
      </w:pPr>
      <w:r>
        <w:t xml:space="preserve">A: </w:t>
      </w:r>
      <w:r w:rsidR="00141B35">
        <w:t xml:space="preserve">Actinospore stage develops in oligochaete worm </w:t>
      </w:r>
      <w:r w:rsidR="00141B35">
        <w:rPr>
          <w:i/>
        </w:rPr>
        <w:t xml:space="preserve">D. </w:t>
      </w:r>
      <w:proofErr w:type="spellStart"/>
      <w:r w:rsidR="00141B35">
        <w:rPr>
          <w:i/>
        </w:rPr>
        <w:t>digitata</w:t>
      </w:r>
      <w:proofErr w:type="spellEnd"/>
      <w:r w:rsidR="00141B35">
        <w:rPr>
          <w:i/>
        </w:rPr>
        <w:t>.</w:t>
      </w:r>
      <w:r w:rsidR="00141B35">
        <w:t xml:space="preserve"> Worm releases actinospore in feces into pond water.  Actinospore attaches to surface of fish (gills). Multicellular spores form within plasmodia, released into pond environment and ingested by worms to complete the life cycle.</w:t>
      </w:r>
    </w:p>
    <w:p w14:paraId="3DDB6EED" w14:textId="6FDD01A5" w:rsidR="00141B35" w:rsidRDefault="00141B35"/>
    <w:p w14:paraId="0C94FFC5" w14:textId="4B24E08A" w:rsidR="009B79D1" w:rsidRDefault="009B79D1"/>
    <w:p w14:paraId="47EF41F3" w14:textId="77777777" w:rsidR="009B79D1" w:rsidRPr="00075842" w:rsidRDefault="009B79D1" w:rsidP="009B79D1">
      <w:pPr>
        <w:rPr>
          <w:rFonts w:ascii="Times New Roman" w:hAnsi="Times New Roman" w:cs="Times New Roman"/>
        </w:rPr>
      </w:pPr>
      <w:r w:rsidRPr="00075842">
        <w:rPr>
          <w:rFonts w:ascii="Times New Roman" w:hAnsi="Times New Roman" w:cs="Times New Roman"/>
        </w:rPr>
        <w:lastRenderedPageBreak/>
        <w:t>Question:</w:t>
      </w:r>
    </w:p>
    <w:p w14:paraId="40C1EBFB" w14:textId="77777777" w:rsidR="009B79D1" w:rsidRDefault="009B79D1" w:rsidP="009B79D1">
      <w:pPr>
        <w:rPr>
          <w:rFonts w:ascii="Times New Roman" w:hAnsi="Times New Roman" w:cs="Times New Roman"/>
          <w:color w:val="333333"/>
          <w:shd w:val="clear" w:color="auto" w:fill="FFFFFF"/>
        </w:rPr>
      </w:pPr>
      <w:r>
        <w:rPr>
          <w:rFonts w:ascii="Times New Roman" w:hAnsi="Times New Roman" w:cs="Times New Roman"/>
        </w:rPr>
        <w:t>Which of the following is true regarding</w:t>
      </w:r>
      <w:r w:rsidRPr="00075842">
        <w:rPr>
          <w:rFonts w:ascii="Times New Roman" w:hAnsi="Times New Roman" w:cs="Times New Roman"/>
        </w:rPr>
        <w:t xml:space="preserve"> </w:t>
      </w:r>
      <w:r w:rsidRPr="00FB2059">
        <w:rPr>
          <w:rFonts w:ascii="Times New Roman" w:hAnsi="Times New Roman" w:cs="Times New Roman"/>
          <w:i/>
          <w:iCs/>
          <w:color w:val="333333"/>
          <w:shd w:val="clear" w:color="auto" w:fill="FFFFFF"/>
        </w:rPr>
        <w:t xml:space="preserve">Salmincola </w:t>
      </w:r>
      <w:proofErr w:type="spellStart"/>
      <w:r w:rsidRPr="00FB2059">
        <w:rPr>
          <w:rFonts w:ascii="Times New Roman" w:hAnsi="Times New Roman" w:cs="Times New Roman"/>
          <w:i/>
          <w:iCs/>
          <w:color w:val="333333"/>
          <w:shd w:val="clear" w:color="auto" w:fill="FFFFFF"/>
        </w:rPr>
        <w:t>californiensis</w:t>
      </w:r>
      <w:proofErr w:type="spellEnd"/>
      <w:r>
        <w:rPr>
          <w:rFonts w:ascii="Times New Roman" w:hAnsi="Times New Roman" w:cs="Times New Roman"/>
          <w:color w:val="333333"/>
          <w:shd w:val="clear" w:color="auto" w:fill="FFFFFF"/>
        </w:rPr>
        <w:t xml:space="preserve"> infection in salmonids?</w:t>
      </w:r>
    </w:p>
    <w:p w14:paraId="6A86DAD1" w14:textId="77777777" w:rsidR="009B79D1" w:rsidRPr="00FB2059" w:rsidRDefault="009B79D1" w:rsidP="009B79D1">
      <w:pPr>
        <w:pStyle w:val="ListParagraph"/>
        <w:numPr>
          <w:ilvl w:val="0"/>
          <w:numId w:val="1"/>
        </w:numPr>
        <w:rPr>
          <w:rFonts w:ascii="Times New Roman" w:hAnsi="Times New Roman" w:cs="Times New Roman"/>
          <w:b/>
          <w:bCs/>
        </w:rPr>
      </w:pPr>
      <w:r>
        <w:rPr>
          <w:rFonts w:ascii="Times New Roman" w:hAnsi="Times New Roman" w:cs="Times New Roman"/>
          <w:b/>
          <w:bCs/>
          <w:color w:val="1C1D1E"/>
          <w:shd w:val="clear" w:color="auto" w:fill="FFFFFF"/>
        </w:rPr>
        <w:t>Infected fish had r</w:t>
      </w:r>
      <w:r w:rsidRPr="00FB2059">
        <w:rPr>
          <w:rFonts w:ascii="Times New Roman" w:hAnsi="Times New Roman" w:cs="Times New Roman"/>
          <w:b/>
          <w:bCs/>
          <w:color w:val="1C1D1E"/>
          <w:shd w:val="clear" w:color="auto" w:fill="FFFFFF"/>
        </w:rPr>
        <w:t>educed swimming endurance</w:t>
      </w:r>
      <w:r>
        <w:rPr>
          <w:rFonts w:ascii="Times New Roman" w:hAnsi="Times New Roman" w:cs="Times New Roman"/>
          <w:b/>
          <w:bCs/>
          <w:color w:val="1C1D1E"/>
          <w:shd w:val="clear" w:color="auto" w:fill="FFFFFF"/>
        </w:rPr>
        <w:t>.</w:t>
      </w:r>
    </w:p>
    <w:p w14:paraId="52856D93" w14:textId="77777777" w:rsidR="009B79D1" w:rsidRPr="003A7E5A" w:rsidRDefault="009B79D1" w:rsidP="009B79D1">
      <w:pPr>
        <w:pStyle w:val="ListParagraph"/>
        <w:numPr>
          <w:ilvl w:val="0"/>
          <w:numId w:val="1"/>
        </w:numPr>
        <w:rPr>
          <w:rFonts w:ascii="Times New Roman" w:hAnsi="Times New Roman" w:cs="Times New Roman"/>
        </w:rPr>
      </w:pPr>
      <w:r>
        <w:rPr>
          <w:rFonts w:ascii="Times New Roman" w:hAnsi="Times New Roman" w:cs="Times New Roman"/>
          <w:color w:val="1C1D1E"/>
          <w:shd w:val="clear" w:color="auto" w:fill="FFFFFF"/>
        </w:rPr>
        <w:t>There is no</w:t>
      </w:r>
      <w:r w:rsidRPr="003A7E5A">
        <w:rPr>
          <w:rFonts w:ascii="Times New Roman" w:hAnsi="Times New Roman" w:cs="Times New Roman"/>
          <w:color w:val="1C1D1E"/>
          <w:shd w:val="clear" w:color="auto" w:fill="FFFFFF"/>
        </w:rPr>
        <w:t xml:space="preserve"> correlation between gill damage and intensity of infection</w:t>
      </w:r>
      <w:r>
        <w:rPr>
          <w:rFonts w:ascii="Times New Roman" w:hAnsi="Times New Roman" w:cs="Times New Roman"/>
          <w:color w:val="1C1D1E"/>
          <w:shd w:val="clear" w:color="auto" w:fill="FFFFFF"/>
        </w:rPr>
        <w:t>.</w:t>
      </w:r>
    </w:p>
    <w:p w14:paraId="63C97E96" w14:textId="77777777" w:rsidR="009B79D1" w:rsidRPr="003A7E5A" w:rsidRDefault="009B79D1" w:rsidP="009B79D1">
      <w:pPr>
        <w:pStyle w:val="ListParagraph"/>
        <w:numPr>
          <w:ilvl w:val="0"/>
          <w:numId w:val="1"/>
        </w:numPr>
        <w:rPr>
          <w:rFonts w:ascii="Times New Roman" w:hAnsi="Times New Roman" w:cs="Times New Roman"/>
        </w:rPr>
      </w:pPr>
      <w:r>
        <w:rPr>
          <w:rFonts w:ascii="Times New Roman" w:hAnsi="Times New Roman" w:cs="Times New Roman"/>
          <w:color w:val="1C1D1E"/>
          <w:shd w:val="clear" w:color="auto" w:fill="FFFFFF"/>
        </w:rPr>
        <w:t>Only severe</w:t>
      </w:r>
      <w:r w:rsidRPr="003A7E5A">
        <w:rPr>
          <w:rFonts w:ascii="Times New Roman" w:hAnsi="Times New Roman" w:cs="Times New Roman"/>
          <w:color w:val="1C1D1E"/>
          <w:shd w:val="clear" w:color="auto" w:fill="FFFFFF"/>
        </w:rPr>
        <w:t xml:space="preserve"> infectio</w:t>
      </w:r>
      <w:r>
        <w:rPr>
          <w:rFonts w:ascii="Times New Roman" w:hAnsi="Times New Roman" w:cs="Times New Roman"/>
          <w:color w:val="1C1D1E"/>
          <w:shd w:val="clear" w:color="auto" w:fill="FFFFFF"/>
        </w:rPr>
        <w:t>ns were</w:t>
      </w:r>
      <w:r w:rsidRPr="003A7E5A">
        <w:rPr>
          <w:rFonts w:ascii="Times New Roman" w:hAnsi="Times New Roman" w:cs="Times New Roman"/>
          <w:color w:val="1C1D1E"/>
          <w:shd w:val="clear" w:color="auto" w:fill="FFFFFF"/>
        </w:rPr>
        <w:t xml:space="preserve"> </w:t>
      </w:r>
      <w:r>
        <w:rPr>
          <w:rFonts w:ascii="Times New Roman" w:hAnsi="Times New Roman" w:cs="Times New Roman"/>
          <w:color w:val="1C1D1E"/>
          <w:shd w:val="clear" w:color="auto" w:fill="FFFFFF"/>
        </w:rPr>
        <w:t xml:space="preserve">found to be </w:t>
      </w:r>
      <w:r w:rsidRPr="003A7E5A">
        <w:rPr>
          <w:rFonts w:ascii="Times New Roman" w:hAnsi="Times New Roman" w:cs="Times New Roman"/>
          <w:color w:val="1C1D1E"/>
          <w:shd w:val="clear" w:color="auto" w:fill="FFFFFF"/>
        </w:rPr>
        <w:t>debilitatin</w:t>
      </w:r>
      <w:r>
        <w:rPr>
          <w:rFonts w:ascii="Times New Roman" w:hAnsi="Times New Roman" w:cs="Times New Roman"/>
          <w:color w:val="1C1D1E"/>
          <w:shd w:val="clear" w:color="auto" w:fill="FFFFFF"/>
        </w:rPr>
        <w:t>g.</w:t>
      </w:r>
    </w:p>
    <w:p w14:paraId="440A26B2" w14:textId="77777777" w:rsidR="009B79D1" w:rsidRPr="003A7E5A" w:rsidRDefault="009B79D1" w:rsidP="009B79D1">
      <w:pPr>
        <w:pStyle w:val="ListParagraph"/>
        <w:numPr>
          <w:ilvl w:val="0"/>
          <w:numId w:val="1"/>
        </w:numPr>
        <w:rPr>
          <w:rFonts w:ascii="Times New Roman" w:hAnsi="Times New Roman" w:cs="Times New Roman"/>
        </w:rPr>
      </w:pPr>
      <w:r>
        <w:rPr>
          <w:rFonts w:ascii="Times New Roman" w:hAnsi="Times New Roman" w:cs="Times New Roman"/>
          <w:color w:val="1C1D1E"/>
          <w:shd w:val="clear" w:color="auto" w:fill="FFFFFF"/>
        </w:rPr>
        <w:t>G</w:t>
      </w:r>
      <w:r w:rsidRPr="003A7E5A">
        <w:rPr>
          <w:rFonts w:ascii="Times New Roman" w:hAnsi="Times New Roman" w:cs="Times New Roman"/>
          <w:color w:val="1C1D1E"/>
          <w:shd w:val="clear" w:color="auto" w:fill="FFFFFF"/>
        </w:rPr>
        <w:t>ill damage from</w:t>
      </w:r>
      <w:r>
        <w:rPr>
          <w:rFonts w:ascii="Times New Roman" w:hAnsi="Times New Roman" w:cs="Times New Roman"/>
          <w:color w:val="1C1D1E"/>
          <w:shd w:val="clear" w:color="auto" w:fill="FFFFFF"/>
        </w:rPr>
        <w:t xml:space="preserve"> the</w:t>
      </w:r>
      <w:r w:rsidRPr="003A7E5A">
        <w:rPr>
          <w:rFonts w:ascii="Times New Roman" w:hAnsi="Times New Roman" w:cs="Times New Roman"/>
          <w:color w:val="1C1D1E"/>
          <w:shd w:val="clear" w:color="auto" w:fill="FFFFFF"/>
        </w:rPr>
        <w:t xml:space="preserve"> copepods </w:t>
      </w:r>
      <w:r>
        <w:rPr>
          <w:rFonts w:ascii="Times New Roman" w:hAnsi="Times New Roman" w:cs="Times New Roman"/>
          <w:color w:val="1C1D1E"/>
          <w:shd w:val="clear" w:color="auto" w:fill="FFFFFF"/>
        </w:rPr>
        <w:t>is usually diffuse.</w:t>
      </w:r>
    </w:p>
    <w:p w14:paraId="547B4B36" w14:textId="77777777" w:rsidR="009B79D1" w:rsidRPr="00FB2059" w:rsidRDefault="009B79D1" w:rsidP="009B79D1">
      <w:pPr>
        <w:pStyle w:val="ListParagraph"/>
        <w:numPr>
          <w:ilvl w:val="0"/>
          <w:numId w:val="1"/>
        </w:numPr>
        <w:rPr>
          <w:rFonts w:ascii="Times New Roman" w:hAnsi="Times New Roman" w:cs="Times New Roman"/>
        </w:rPr>
      </w:pPr>
      <w:r w:rsidRPr="00FB2059">
        <w:rPr>
          <w:rFonts w:ascii="Times New Roman" w:hAnsi="Times New Roman" w:cs="Times New Roman"/>
          <w:i/>
          <w:iCs/>
          <w:color w:val="333333"/>
          <w:shd w:val="clear" w:color="auto" w:fill="FFFFFF"/>
        </w:rPr>
        <w:t xml:space="preserve">Salmincola </w:t>
      </w:r>
      <w:proofErr w:type="spellStart"/>
      <w:r w:rsidRPr="00FB2059">
        <w:rPr>
          <w:rFonts w:ascii="Times New Roman" w:hAnsi="Times New Roman" w:cs="Times New Roman"/>
          <w:i/>
          <w:iCs/>
          <w:color w:val="333333"/>
          <w:shd w:val="clear" w:color="auto" w:fill="FFFFFF"/>
        </w:rPr>
        <w:t>californiensis</w:t>
      </w:r>
      <w:proofErr w:type="spellEnd"/>
      <w:r>
        <w:rPr>
          <w:rFonts w:ascii="Times New Roman" w:hAnsi="Times New Roman" w:cs="Times New Roman"/>
          <w:i/>
          <w:iCs/>
          <w:color w:val="333333"/>
          <w:shd w:val="clear" w:color="auto" w:fill="FFFFFF"/>
        </w:rPr>
        <w:t xml:space="preserve"> </w:t>
      </w:r>
      <w:r w:rsidRPr="00FA117A">
        <w:rPr>
          <w:rFonts w:ascii="Times New Roman" w:hAnsi="Times New Roman" w:cs="Times New Roman"/>
          <w:color w:val="333333"/>
          <w:shd w:val="clear" w:color="auto" w:fill="FFFFFF"/>
        </w:rPr>
        <w:t xml:space="preserve">complete their </w:t>
      </w:r>
      <w:r>
        <w:rPr>
          <w:rFonts w:ascii="Times New Roman" w:hAnsi="Times New Roman" w:cs="Times New Roman"/>
          <w:color w:val="333333"/>
          <w:shd w:val="clear" w:color="auto" w:fill="FFFFFF"/>
        </w:rPr>
        <w:t xml:space="preserve">entire </w:t>
      </w:r>
      <w:r w:rsidRPr="00FA117A">
        <w:rPr>
          <w:rFonts w:ascii="Times New Roman" w:hAnsi="Times New Roman" w:cs="Times New Roman"/>
          <w:color w:val="333333"/>
          <w:shd w:val="clear" w:color="auto" w:fill="FFFFFF"/>
        </w:rPr>
        <w:t>lifecycle in 7-10 days</w:t>
      </w:r>
      <w:r>
        <w:rPr>
          <w:rFonts w:ascii="Times New Roman" w:hAnsi="Times New Roman" w:cs="Times New Roman"/>
          <w:color w:val="333333"/>
          <w:shd w:val="clear" w:color="auto" w:fill="FFFFFF"/>
        </w:rPr>
        <w:t>.</w:t>
      </w:r>
    </w:p>
    <w:p w14:paraId="60C6DBE8" w14:textId="26BDFC6E" w:rsidR="009B79D1" w:rsidRDefault="009B79D1"/>
    <w:p w14:paraId="7DA6154F" w14:textId="77777777" w:rsidR="009B79D1" w:rsidRDefault="009B79D1" w:rsidP="009B79D1">
      <w:pPr>
        <w:rPr>
          <w:b/>
          <w:bCs/>
        </w:rPr>
      </w:pPr>
      <w:r w:rsidRPr="004F10BF">
        <w:rPr>
          <w:b/>
          <w:bCs/>
        </w:rPr>
        <w:t>Practice Question:</w:t>
      </w:r>
    </w:p>
    <w:p w14:paraId="678C84DD" w14:textId="77777777" w:rsidR="009B79D1" w:rsidRDefault="009B79D1" w:rsidP="009B79D1">
      <w:r>
        <w:t xml:space="preserve">Grass carp which have survived </w:t>
      </w:r>
      <w:r>
        <w:rPr>
          <w:i/>
          <w:iCs/>
        </w:rPr>
        <w:t xml:space="preserve">D. </w:t>
      </w:r>
      <w:proofErr w:type="spellStart"/>
      <w:r>
        <w:rPr>
          <w:i/>
          <w:iCs/>
        </w:rPr>
        <w:t>ctenopharyngodonid</w:t>
      </w:r>
      <w:proofErr w:type="spellEnd"/>
      <w:r>
        <w:rPr>
          <w:i/>
          <w:iCs/>
        </w:rPr>
        <w:t xml:space="preserve"> </w:t>
      </w:r>
      <w:r>
        <w:t>infection will likely be partially protected from what other ciliate protozoan?</w:t>
      </w:r>
    </w:p>
    <w:p w14:paraId="14D1F438" w14:textId="77777777" w:rsidR="009B79D1" w:rsidRDefault="009B79D1" w:rsidP="009B79D1"/>
    <w:p w14:paraId="5592CB54" w14:textId="77777777" w:rsidR="009B79D1" w:rsidRPr="00BC191E" w:rsidRDefault="009B79D1" w:rsidP="009B79D1">
      <w:pPr>
        <w:rPr>
          <w:i/>
          <w:iCs/>
        </w:rPr>
      </w:pPr>
      <w:r>
        <w:t xml:space="preserve">Answer: </w:t>
      </w:r>
      <w:proofErr w:type="spellStart"/>
      <w:r>
        <w:rPr>
          <w:i/>
          <w:iCs/>
        </w:rPr>
        <w:t>Ichthyophthirius</w:t>
      </w:r>
      <w:proofErr w:type="spellEnd"/>
      <w:r>
        <w:rPr>
          <w:i/>
          <w:iCs/>
        </w:rPr>
        <w:t xml:space="preserve"> </w:t>
      </w:r>
      <w:proofErr w:type="spellStart"/>
      <w:r>
        <w:rPr>
          <w:i/>
          <w:iCs/>
        </w:rPr>
        <w:t>multifiliis</w:t>
      </w:r>
      <w:proofErr w:type="spellEnd"/>
    </w:p>
    <w:p w14:paraId="6189C70D" w14:textId="44201A80" w:rsidR="009B79D1" w:rsidRDefault="009B79D1"/>
    <w:p w14:paraId="1EA587FA" w14:textId="4F5E55BD" w:rsidR="009B79D1" w:rsidRDefault="009B79D1"/>
    <w:p w14:paraId="78F29C33" w14:textId="77777777" w:rsidR="009B79D1" w:rsidRDefault="009B79D1" w:rsidP="009B79D1">
      <w:pPr>
        <w:jc w:val="center"/>
        <w:rPr>
          <w:b/>
        </w:rPr>
      </w:pPr>
      <w:r>
        <w:rPr>
          <w:b/>
        </w:rPr>
        <w:t xml:space="preserve">Diagnosis and treatment of multi-species fish mortality attributed to </w:t>
      </w:r>
      <w:proofErr w:type="spellStart"/>
      <w:r>
        <w:rPr>
          <w:b/>
          <w:i/>
        </w:rPr>
        <w:t>Enteromyxum</w:t>
      </w:r>
      <w:proofErr w:type="spellEnd"/>
      <w:r>
        <w:rPr>
          <w:b/>
          <w:i/>
        </w:rPr>
        <w:t xml:space="preserve"> </w:t>
      </w:r>
      <w:proofErr w:type="spellStart"/>
      <w:r>
        <w:rPr>
          <w:b/>
          <w:i/>
        </w:rPr>
        <w:t>leei</w:t>
      </w:r>
      <w:proofErr w:type="spellEnd"/>
      <w:r>
        <w:rPr>
          <w:b/>
          <w:i/>
        </w:rPr>
        <w:t xml:space="preserve"> </w:t>
      </w:r>
      <w:r>
        <w:rPr>
          <w:b/>
        </w:rPr>
        <w:t xml:space="preserve">while in quarantine at a US aquarium. </w:t>
      </w:r>
    </w:p>
    <w:p w14:paraId="0E5F4E09" w14:textId="77777777" w:rsidR="009B79D1" w:rsidRDefault="009B79D1" w:rsidP="009B79D1">
      <w:pPr>
        <w:jc w:val="center"/>
      </w:pPr>
      <w:r>
        <w:t xml:space="preserve">Hyatt MW, </w:t>
      </w:r>
      <w:proofErr w:type="spellStart"/>
      <w:r>
        <w:t>Waltzek</w:t>
      </w:r>
      <w:proofErr w:type="spellEnd"/>
      <w:r>
        <w:t xml:space="preserve"> TB, Kieran EA, </w:t>
      </w:r>
      <w:proofErr w:type="spellStart"/>
      <w:r>
        <w:t>Frasca</w:t>
      </w:r>
      <w:proofErr w:type="spellEnd"/>
      <w:r>
        <w:t xml:space="preserve"> Jr S, </w:t>
      </w:r>
      <w:proofErr w:type="spellStart"/>
      <w:r>
        <w:t>Lovy</w:t>
      </w:r>
      <w:proofErr w:type="spellEnd"/>
      <w:r>
        <w:t xml:space="preserve"> J. </w:t>
      </w:r>
    </w:p>
    <w:p w14:paraId="79416C55" w14:textId="77777777" w:rsidR="009B79D1" w:rsidRDefault="009B79D1" w:rsidP="009B79D1">
      <w:pPr>
        <w:jc w:val="center"/>
      </w:pPr>
      <w:r>
        <w:t>Diseases of Aquatic Organisms. 2018 Dec 11;132(1):37-48.</w:t>
      </w:r>
    </w:p>
    <w:p w14:paraId="5DE5FA81" w14:textId="77777777" w:rsidR="009B79D1" w:rsidRDefault="009B79D1" w:rsidP="009B79D1">
      <w:pPr>
        <w:jc w:val="center"/>
      </w:pPr>
    </w:p>
    <w:p w14:paraId="5AC809FE" w14:textId="77777777" w:rsidR="009B79D1" w:rsidRDefault="009B79D1" w:rsidP="009B79D1">
      <w:r>
        <w:rPr>
          <w:b/>
        </w:rPr>
        <w:t xml:space="preserve">What is the most common clinical sign of </w:t>
      </w:r>
      <w:proofErr w:type="spellStart"/>
      <w:r>
        <w:rPr>
          <w:b/>
          <w:i/>
        </w:rPr>
        <w:t>Enteromyxum</w:t>
      </w:r>
      <w:proofErr w:type="spellEnd"/>
      <w:r>
        <w:rPr>
          <w:b/>
          <w:i/>
        </w:rPr>
        <w:t xml:space="preserve"> </w:t>
      </w:r>
      <w:proofErr w:type="spellStart"/>
      <w:r>
        <w:rPr>
          <w:b/>
          <w:i/>
        </w:rPr>
        <w:t>leei</w:t>
      </w:r>
      <w:proofErr w:type="spellEnd"/>
      <w:r>
        <w:rPr>
          <w:b/>
        </w:rPr>
        <w:t xml:space="preserve"> infection in marine fish?</w:t>
      </w:r>
    </w:p>
    <w:p w14:paraId="47343B07" w14:textId="77777777" w:rsidR="009B79D1" w:rsidRDefault="009B79D1" w:rsidP="009B79D1">
      <w:pPr>
        <w:numPr>
          <w:ilvl w:val="0"/>
          <w:numId w:val="2"/>
        </w:numPr>
        <w:spacing w:line="276" w:lineRule="auto"/>
      </w:pPr>
      <w:r>
        <w:t>Circling</w:t>
      </w:r>
    </w:p>
    <w:p w14:paraId="39C948A5" w14:textId="77777777" w:rsidR="009B79D1" w:rsidRDefault="009B79D1" w:rsidP="009B79D1">
      <w:pPr>
        <w:numPr>
          <w:ilvl w:val="0"/>
          <w:numId w:val="2"/>
        </w:numPr>
        <w:spacing w:line="276" w:lineRule="auto"/>
      </w:pPr>
      <w:r>
        <w:t>Exophthalmia</w:t>
      </w:r>
    </w:p>
    <w:p w14:paraId="79F4B841" w14:textId="77777777" w:rsidR="009B79D1" w:rsidRDefault="009B79D1" w:rsidP="009B79D1">
      <w:pPr>
        <w:numPr>
          <w:ilvl w:val="0"/>
          <w:numId w:val="2"/>
        </w:numPr>
        <w:spacing w:line="276" w:lineRule="auto"/>
        <w:rPr>
          <w:b/>
        </w:rPr>
      </w:pPr>
      <w:r>
        <w:rPr>
          <w:b/>
        </w:rPr>
        <w:t>Emaciation</w:t>
      </w:r>
    </w:p>
    <w:p w14:paraId="3C4D9F68" w14:textId="77777777" w:rsidR="009B79D1" w:rsidRDefault="009B79D1" w:rsidP="009B79D1">
      <w:pPr>
        <w:numPr>
          <w:ilvl w:val="0"/>
          <w:numId w:val="2"/>
        </w:numPr>
        <w:spacing w:line="276" w:lineRule="auto"/>
      </w:pPr>
      <w:r>
        <w:t>Dermal lesions</w:t>
      </w:r>
    </w:p>
    <w:p w14:paraId="08E9341F" w14:textId="77777777" w:rsidR="009B79D1" w:rsidRDefault="009B79D1" w:rsidP="009B79D1">
      <w:pPr>
        <w:numPr>
          <w:ilvl w:val="0"/>
          <w:numId w:val="2"/>
        </w:numPr>
        <w:spacing w:line="276" w:lineRule="auto"/>
      </w:pPr>
      <w:r>
        <w:t>Abnormal buoyancy</w:t>
      </w:r>
    </w:p>
    <w:p w14:paraId="710C1E48" w14:textId="222F1461" w:rsidR="009B79D1" w:rsidRDefault="009B79D1"/>
    <w:p w14:paraId="0445376E" w14:textId="77777777" w:rsidR="009B79D1" w:rsidRDefault="009B79D1" w:rsidP="009B79D1">
      <w:r>
        <w:t xml:space="preserve">What is the most likely route of transmission of the protozoal pathogen </w:t>
      </w:r>
      <w:proofErr w:type="spellStart"/>
      <w:r>
        <w:t>Miamiensis</w:t>
      </w:r>
      <w:proofErr w:type="spellEnd"/>
      <w:r>
        <w:t xml:space="preserve"> </w:t>
      </w:r>
      <w:proofErr w:type="spellStart"/>
      <w:r>
        <w:t>avidus</w:t>
      </w:r>
      <w:proofErr w:type="spellEnd"/>
      <w:r>
        <w:t xml:space="preserve"> in leopard sharks (</w:t>
      </w:r>
      <w:proofErr w:type="spellStart"/>
      <w:r>
        <w:t>Triackis</w:t>
      </w:r>
      <w:proofErr w:type="spellEnd"/>
      <w:r>
        <w:t xml:space="preserve"> </w:t>
      </w:r>
      <w:proofErr w:type="spellStart"/>
      <w:r>
        <w:t>semifasciata</w:t>
      </w:r>
      <w:proofErr w:type="spellEnd"/>
      <w:r>
        <w:t>)?</w:t>
      </w:r>
    </w:p>
    <w:p w14:paraId="6E6C39DF" w14:textId="77777777" w:rsidR="009B79D1" w:rsidRDefault="009B79D1" w:rsidP="009B79D1"/>
    <w:p w14:paraId="48F518B6" w14:textId="77777777" w:rsidR="009B79D1" w:rsidRDefault="009B79D1" w:rsidP="009B79D1">
      <w:pPr>
        <w:pStyle w:val="ListParagraph"/>
        <w:numPr>
          <w:ilvl w:val="0"/>
          <w:numId w:val="3"/>
        </w:numPr>
        <w:spacing w:after="0" w:line="240" w:lineRule="auto"/>
      </w:pPr>
      <w:r>
        <w:t>Parasitic fish vector</w:t>
      </w:r>
    </w:p>
    <w:p w14:paraId="7DC1E0A5" w14:textId="77777777" w:rsidR="009B79D1" w:rsidRDefault="009B79D1" w:rsidP="009B79D1">
      <w:pPr>
        <w:pStyle w:val="ListParagraph"/>
        <w:numPr>
          <w:ilvl w:val="0"/>
          <w:numId w:val="3"/>
        </w:numPr>
        <w:spacing w:after="0" w:line="240" w:lineRule="auto"/>
      </w:pPr>
      <w:r>
        <w:t xml:space="preserve">Vertical </w:t>
      </w:r>
    </w:p>
    <w:p w14:paraId="11D414AD" w14:textId="77777777" w:rsidR="009B79D1" w:rsidRDefault="009B79D1" w:rsidP="009B79D1">
      <w:pPr>
        <w:pStyle w:val="ListParagraph"/>
        <w:numPr>
          <w:ilvl w:val="0"/>
          <w:numId w:val="3"/>
        </w:numPr>
        <w:spacing w:after="0" w:line="240" w:lineRule="auto"/>
      </w:pPr>
      <w:r>
        <w:t xml:space="preserve">Nasal </w:t>
      </w:r>
    </w:p>
    <w:p w14:paraId="1029F8B5" w14:textId="77777777" w:rsidR="009B79D1" w:rsidRDefault="009B79D1" w:rsidP="009B79D1">
      <w:pPr>
        <w:pStyle w:val="ListParagraph"/>
        <w:numPr>
          <w:ilvl w:val="0"/>
          <w:numId w:val="3"/>
        </w:numPr>
        <w:spacing w:after="0" w:line="240" w:lineRule="auto"/>
      </w:pPr>
      <w:r>
        <w:t>Bite wounds</w:t>
      </w:r>
    </w:p>
    <w:p w14:paraId="3536F2A6" w14:textId="77777777" w:rsidR="009B79D1" w:rsidRDefault="009B79D1" w:rsidP="009B79D1">
      <w:pPr>
        <w:pStyle w:val="ListParagraph"/>
        <w:numPr>
          <w:ilvl w:val="0"/>
          <w:numId w:val="3"/>
        </w:numPr>
        <w:spacing w:after="0" w:line="240" w:lineRule="auto"/>
      </w:pPr>
      <w:r>
        <w:t>Fecal-oral</w:t>
      </w:r>
    </w:p>
    <w:p w14:paraId="18079B4E" w14:textId="77777777" w:rsidR="009B79D1" w:rsidRDefault="009B79D1" w:rsidP="009B79D1"/>
    <w:p w14:paraId="76DDC05F" w14:textId="77777777" w:rsidR="009B79D1" w:rsidRDefault="009B79D1" w:rsidP="009B79D1">
      <w:r>
        <w:t>Answer: C</w:t>
      </w:r>
    </w:p>
    <w:p w14:paraId="032D849D" w14:textId="77777777" w:rsidR="009B79D1" w:rsidRPr="00141B35" w:rsidRDefault="009B79D1">
      <w:bookmarkStart w:id="0" w:name="_GoBack"/>
      <w:bookmarkEnd w:id="0"/>
    </w:p>
    <w:sectPr w:rsidR="009B79D1" w:rsidRPr="00141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477"/>
    <w:multiLevelType w:val="hybridMultilevel"/>
    <w:tmpl w:val="ED244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F81F42"/>
    <w:multiLevelType w:val="hybridMultilevel"/>
    <w:tmpl w:val="9A58C25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85561"/>
    <w:multiLevelType w:val="multilevel"/>
    <w:tmpl w:val="855A3E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F4"/>
    <w:rsid w:val="00001D85"/>
    <w:rsid w:val="00026FEC"/>
    <w:rsid w:val="0004415B"/>
    <w:rsid w:val="00052D5B"/>
    <w:rsid w:val="00061B55"/>
    <w:rsid w:val="00077060"/>
    <w:rsid w:val="00094A4A"/>
    <w:rsid w:val="00097325"/>
    <w:rsid w:val="000A3551"/>
    <w:rsid w:val="000C12BF"/>
    <w:rsid w:val="000D6334"/>
    <w:rsid w:val="000D6EB4"/>
    <w:rsid w:val="000F02BE"/>
    <w:rsid w:val="000F3472"/>
    <w:rsid w:val="0010020C"/>
    <w:rsid w:val="0010344B"/>
    <w:rsid w:val="00135092"/>
    <w:rsid w:val="00141B35"/>
    <w:rsid w:val="00144829"/>
    <w:rsid w:val="001501D0"/>
    <w:rsid w:val="001533F5"/>
    <w:rsid w:val="00167B09"/>
    <w:rsid w:val="00171A87"/>
    <w:rsid w:val="00180653"/>
    <w:rsid w:val="00182CC8"/>
    <w:rsid w:val="00187709"/>
    <w:rsid w:val="00197262"/>
    <w:rsid w:val="001A25B4"/>
    <w:rsid w:val="001A78F8"/>
    <w:rsid w:val="001B213C"/>
    <w:rsid w:val="001D058C"/>
    <w:rsid w:val="001F2EB4"/>
    <w:rsid w:val="001F6A15"/>
    <w:rsid w:val="00201156"/>
    <w:rsid w:val="00212245"/>
    <w:rsid w:val="00227227"/>
    <w:rsid w:val="002341E4"/>
    <w:rsid w:val="0025148A"/>
    <w:rsid w:val="0026794F"/>
    <w:rsid w:val="00271D9B"/>
    <w:rsid w:val="002A1448"/>
    <w:rsid w:val="002A1689"/>
    <w:rsid w:val="002A30C9"/>
    <w:rsid w:val="002B020D"/>
    <w:rsid w:val="002B6E02"/>
    <w:rsid w:val="002C3F66"/>
    <w:rsid w:val="002C3F70"/>
    <w:rsid w:val="002D24B0"/>
    <w:rsid w:val="002D3A8B"/>
    <w:rsid w:val="002D7B3B"/>
    <w:rsid w:val="002F0B99"/>
    <w:rsid w:val="002F3227"/>
    <w:rsid w:val="00313645"/>
    <w:rsid w:val="00320665"/>
    <w:rsid w:val="00331968"/>
    <w:rsid w:val="0035367D"/>
    <w:rsid w:val="00354C14"/>
    <w:rsid w:val="0035606F"/>
    <w:rsid w:val="00366CF7"/>
    <w:rsid w:val="00372BFD"/>
    <w:rsid w:val="0038696B"/>
    <w:rsid w:val="00386E65"/>
    <w:rsid w:val="003B1988"/>
    <w:rsid w:val="003B3374"/>
    <w:rsid w:val="003B353C"/>
    <w:rsid w:val="003C4E00"/>
    <w:rsid w:val="003D59E7"/>
    <w:rsid w:val="004074E4"/>
    <w:rsid w:val="0042465B"/>
    <w:rsid w:val="0046065C"/>
    <w:rsid w:val="00483D49"/>
    <w:rsid w:val="00494724"/>
    <w:rsid w:val="00497BF4"/>
    <w:rsid w:val="004A3860"/>
    <w:rsid w:val="004B0C7D"/>
    <w:rsid w:val="004B7067"/>
    <w:rsid w:val="004F0EBB"/>
    <w:rsid w:val="004F23F2"/>
    <w:rsid w:val="004F40C2"/>
    <w:rsid w:val="004F61E1"/>
    <w:rsid w:val="004F6E23"/>
    <w:rsid w:val="004F7241"/>
    <w:rsid w:val="005205C8"/>
    <w:rsid w:val="00544ED9"/>
    <w:rsid w:val="00546240"/>
    <w:rsid w:val="005476E6"/>
    <w:rsid w:val="00552D42"/>
    <w:rsid w:val="005615A4"/>
    <w:rsid w:val="00564907"/>
    <w:rsid w:val="0056619F"/>
    <w:rsid w:val="00582095"/>
    <w:rsid w:val="00587358"/>
    <w:rsid w:val="005B16BD"/>
    <w:rsid w:val="005B5CE2"/>
    <w:rsid w:val="005C111D"/>
    <w:rsid w:val="005D305B"/>
    <w:rsid w:val="005D5F4E"/>
    <w:rsid w:val="00605E1F"/>
    <w:rsid w:val="00606470"/>
    <w:rsid w:val="006204FC"/>
    <w:rsid w:val="00623A9A"/>
    <w:rsid w:val="0062474C"/>
    <w:rsid w:val="00624D11"/>
    <w:rsid w:val="006264D3"/>
    <w:rsid w:val="0062771F"/>
    <w:rsid w:val="0063770A"/>
    <w:rsid w:val="00646210"/>
    <w:rsid w:val="00654F3B"/>
    <w:rsid w:val="00655BFE"/>
    <w:rsid w:val="0066101F"/>
    <w:rsid w:val="00662408"/>
    <w:rsid w:val="00673A16"/>
    <w:rsid w:val="00680D92"/>
    <w:rsid w:val="00697E68"/>
    <w:rsid w:val="006A1C9D"/>
    <w:rsid w:val="006B0B75"/>
    <w:rsid w:val="006B1F0C"/>
    <w:rsid w:val="006B3686"/>
    <w:rsid w:val="006B417B"/>
    <w:rsid w:val="006B4EEA"/>
    <w:rsid w:val="006C6253"/>
    <w:rsid w:val="006D3896"/>
    <w:rsid w:val="006E3BA7"/>
    <w:rsid w:val="006F348C"/>
    <w:rsid w:val="006F412F"/>
    <w:rsid w:val="00722B1A"/>
    <w:rsid w:val="00724AC3"/>
    <w:rsid w:val="0073025F"/>
    <w:rsid w:val="00742F3B"/>
    <w:rsid w:val="00746C0A"/>
    <w:rsid w:val="0077556B"/>
    <w:rsid w:val="00793E73"/>
    <w:rsid w:val="008079EB"/>
    <w:rsid w:val="00820A3E"/>
    <w:rsid w:val="00824243"/>
    <w:rsid w:val="0084412E"/>
    <w:rsid w:val="0084509A"/>
    <w:rsid w:val="0084675B"/>
    <w:rsid w:val="00860BA8"/>
    <w:rsid w:val="008871FB"/>
    <w:rsid w:val="008A6A66"/>
    <w:rsid w:val="008B76D6"/>
    <w:rsid w:val="008C3E08"/>
    <w:rsid w:val="008C498C"/>
    <w:rsid w:val="008D3331"/>
    <w:rsid w:val="008F31BC"/>
    <w:rsid w:val="00912303"/>
    <w:rsid w:val="00926CFB"/>
    <w:rsid w:val="0093183F"/>
    <w:rsid w:val="0093189D"/>
    <w:rsid w:val="0093343F"/>
    <w:rsid w:val="0093624F"/>
    <w:rsid w:val="009447BF"/>
    <w:rsid w:val="0095046B"/>
    <w:rsid w:val="00957B5A"/>
    <w:rsid w:val="009732A9"/>
    <w:rsid w:val="009733E8"/>
    <w:rsid w:val="00975D87"/>
    <w:rsid w:val="009930F6"/>
    <w:rsid w:val="009A0E39"/>
    <w:rsid w:val="009A384C"/>
    <w:rsid w:val="009B7962"/>
    <w:rsid w:val="009B79D1"/>
    <w:rsid w:val="009D0CA5"/>
    <w:rsid w:val="009D767C"/>
    <w:rsid w:val="009E1CFA"/>
    <w:rsid w:val="009F44AD"/>
    <w:rsid w:val="009F5343"/>
    <w:rsid w:val="00A03FED"/>
    <w:rsid w:val="00A10070"/>
    <w:rsid w:val="00A2097C"/>
    <w:rsid w:val="00A26081"/>
    <w:rsid w:val="00A42FD6"/>
    <w:rsid w:val="00A542F0"/>
    <w:rsid w:val="00A72590"/>
    <w:rsid w:val="00A73E06"/>
    <w:rsid w:val="00A7639B"/>
    <w:rsid w:val="00A81DF3"/>
    <w:rsid w:val="00A848AB"/>
    <w:rsid w:val="00A86C94"/>
    <w:rsid w:val="00A90EB2"/>
    <w:rsid w:val="00A9157B"/>
    <w:rsid w:val="00A91BC2"/>
    <w:rsid w:val="00A94EED"/>
    <w:rsid w:val="00A97067"/>
    <w:rsid w:val="00A976B1"/>
    <w:rsid w:val="00AA3F7F"/>
    <w:rsid w:val="00AA7D91"/>
    <w:rsid w:val="00AC1D68"/>
    <w:rsid w:val="00AD1B32"/>
    <w:rsid w:val="00AE2845"/>
    <w:rsid w:val="00AF0C41"/>
    <w:rsid w:val="00B02C99"/>
    <w:rsid w:val="00B04042"/>
    <w:rsid w:val="00B115E5"/>
    <w:rsid w:val="00B30F6F"/>
    <w:rsid w:val="00B44D06"/>
    <w:rsid w:val="00B50021"/>
    <w:rsid w:val="00B51AD6"/>
    <w:rsid w:val="00B55294"/>
    <w:rsid w:val="00B552D8"/>
    <w:rsid w:val="00B60080"/>
    <w:rsid w:val="00B745F1"/>
    <w:rsid w:val="00BA1605"/>
    <w:rsid w:val="00BA4996"/>
    <w:rsid w:val="00BA5D32"/>
    <w:rsid w:val="00BA61C9"/>
    <w:rsid w:val="00BB2A4F"/>
    <w:rsid w:val="00BC72FB"/>
    <w:rsid w:val="00BE59DF"/>
    <w:rsid w:val="00BE5C2B"/>
    <w:rsid w:val="00C25BBE"/>
    <w:rsid w:val="00C3227A"/>
    <w:rsid w:val="00C32D84"/>
    <w:rsid w:val="00C33CC8"/>
    <w:rsid w:val="00C34D84"/>
    <w:rsid w:val="00C55362"/>
    <w:rsid w:val="00C574CC"/>
    <w:rsid w:val="00C659D2"/>
    <w:rsid w:val="00C70261"/>
    <w:rsid w:val="00C7162B"/>
    <w:rsid w:val="00C77656"/>
    <w:rsid w:val="00C82AFD"/>
    <w:rsid w:val="00CC124A"/>
    <w:rsid w:val="00D05499"/>
    <w:rsid w:val="00D11B2F"/>
    <w:rsid w:val="00D13554"/>
    <w:rsid w:val="00D1364D"/>
    <w:rsid w:val="00D1505C"/>
    <w:rsid w:val="00D22DFC"/>
    <w:rsid w:val="00D25EC5"/>
    <w:rsid w:val="00D41D37"/>
    <w:rsid w:val="00D423C7"/>
    <w:rsid w:val="00D4765B"/>
    <w:rsid w:val="00D52AAC"/>
    <w:rsid w:val="00D57EE9"/>
    <w:rsid w:val="00D646C5"/>
    <w:rsid w:val="00D71949"/>
    <w:rsid w:val="00D96061"/>
    <w:rsid w:val="00DA1641"/>
    <w:rsid w:val="00DA29ED"/>
    <w:rsid w:val="00DA5A7E"/>
    <w:rsid w:val="00DA68B8"/>
    <w:rsid w:val="00DD50E4"/>
    <w:rsid w:val="00DD6AC4"/>
    <w:rsid w:val="00DE0B0F"/>
    <w:rsid w:val="00DE0FDA"/>
    <w:rsid w:val="00DE682A"/>
    <w:rsid w:val="00DF2F6C"/>
    <w:rsid w:val="00DF5BC3"/>
    <w:rsid w:val="00E11EEA"/>
    <w:rsid w:val="00E12A56"/>
    <w:rsid w:val="00E2177D"/>
    <w:rsid w:val="00E47DE3"/>
    <w:rsid w:val="00E53A99"/>
    <w:rsid w:val="00E56653"/>
    <w:rsid w:val="00E56F07"/>
    <w:rsid w:val="00E73B51"/>
    <w:rsid w:val="00E77FD8"/>
    <w:rsid w:val="00E80895"/>
    <w:rsid w:val="00E91629"/>
    <w:rsid w:val="00E958F3"/>
    <w:rsid w:val="00EA66BC"/>
    <w:rsid w:val="00EB3FD2"/>
    <w:rsid w:val="00EB7DBE"/>
    <w:rsid w:val="00EC2F48"/>
    <w:rsid w:val="00EC314E"/>
    <w:rsid w:val="00ED1240"/>
    <w:rsid w:val="00ED55A0"/>
    <w:rsid w:val="00EF0559"/>
    <w:rsid w:val="00F10A01"/>
    <w:rsid w:val="00F161D7"/>
    <w:rsid w:val="00F36544"/>
    <w:rsid w:val="00F55282"/>
    <w:rsid w:val="00F7452F"/>
    <w:rsid w:val="00F7728B"/>
    <w:rsid w:val="00F833B9"/>
    <w:rsid w:val="00F930F9"/>
    <w:rsid w:val="00FA6012"/>
    <w:rsid w:val="00FA645A"/>
    <w:rsid w:val="00FB7ED0"/>
    <w:rsid w:val="00FC48EC"/>
    <w:rsid w:val="00FC7775"/>
    <w:rsid w:val="00FC7ED8"/>
    <w:rsid w:val="00FD1C9D"/>
    <w:rsid w:val="00FE3979"/>
    <w:rsid w:val="00F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F1EE"/>
  <w15:chartTrackingRefBased/>
  <w15:docId w15:val="{4ACD1140-8003-4156-B311-BE235277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B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9D1"/>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Mones</dc:creator>
  <cp:keywords/>
  <dc:description/>
  <cp:lastModifiedBy>Tara Myers Harrison</cp:lastModifiedBy>
  <cp:revision>2</cp:revision>
  <dcterms:created xsi:type="dcterms:W3CDTF">2020-09-28T18:34:00Z</dcterms:created>
  <dcterms:modified xsi:type="dcterms:W3CDTF">2020-09-28T18:34:00Z</dcterms:modified>
</cp:coreProperties>
</file>